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D94E" w14:textId="558BC42A" w:rsidR="003449E5" w:rsidRPr="003449E5" w:rsidRDefault="003449E5" w:rsidP="003449E5">
      <w:pPr>
        <w:autoSpaceDE w:val="0"/>
        <w:autoSpaceDN w:val="0"/>
        <w:adjustRightInd w:val="0"/>
        <w:spacing w:after="0" w:line="360" w:lineRule="auto"/>
        <w:jc w:val="both"/>
        <w:rPr>
          <w:rFonts w:ascii="Times New Roman" w:eastAsia="Calibri" w:hAnsi="Times New Roman" w:cs="Times New Roman"/>
          <w:color w:val="000000"/>
          <w:sz w:val="24"/>
          <w:szCs w:val="24"/>
        </w:rPr>
      </w:pPr>
      <w:r w:rsidRPr="003449E5">
        <w:rPr>
          <w:rFonts w:ascii="Times New Roman" w:eastAsia="Calibri" w:hAnsi="Times New Roman" w:cs="Times New Roman"/>
          <w:color w:val="000000"/>
          <w:sz w:val="24"/>
          <w:szCs w:val="24"/>
        </w:rPr>
        <w:t xml:space="preserve">Współcześnie budowanie konkurencyjności regionu wymaga nie tylko wspierania przedsiębiorczości i działalności badawczo-rozwojowej oraz współpracy między tymi podmiotami, ale przede wszystkim stworzenia sprawnie funkcjonującego systemu obejmującego wszystkie podmioty, które przyczyniają się do podnoszenia atrakcyjności inwestycyjnej ośrodków nowoczesnych usług biznesowych. </w:t>
      </w:r>
    </w:p>
    <w:p w14:paraId="555B290B" w14:textId="3B97EBBC" w:rsidR="003449E5" w:rsidRDefault="003449E5" w:rsidP="003449E5">
      <w:pPr>
        <w:autoSpaceDE w:val="0"/>
        <w:autoSpaceDN w:val="0"/>
        <w:adjustRightInd w:val="0"/>
        <w:spacing w:after="0" w:line="360" w:lineRule="auto"/>
        <w:jc w:val="both"/>
        <w:rPr>
          <w:rFonts w:ascii="Times New Roman" w:eastAsia="Calibri" w:hAnsi="Times New Roman" w:cs="Times New Roman"/>
          <w:color w:val="000000"/>
          <w:sz w:val="24"/>
          <w:szCs w:val="24"/>
        </w:rPr>
      </w:pPr>
      <w:r w:rsidRPr="003449E5">
        <w:rPr>
          <w:rFonts w:ascii="Times New Roman" w:eastAsia="Calibri" w:hAnsi="Times New Roman" w:cs="Times New Roman"/>
          <w:color w:val="000000"/>
          <w:sz w:val="24"/>
          <w:szCs w:val="24"/>
        </w:rPr>
        <w:t>Jednym z wymiarów atrakcyjności inwestycyjnej jest współpraca administracji publicznej, nauki i biznesu tworząca efekty synergiczne definiujące wartość dodaną dla ośrodków nowoczesnych usług biznesowych w postaci kumulacji inwestycji.</w:t>
      </w:r>
    </w:p>
    <w:p w14:paraId="4E3B6463" w14:textId="77777777" w:rsidR="00D36E9B" w:rsidRPr="003449E5" w:rsidRDefault="00D36E9B" w:rsidP="003449E5">
      <w:pPr>
        <w:autoSpaceDE w:val="0"/>
        <w:autoSpaceDN w:val="0"/>
        <w:adjustRightInd w:val="0"/>
        <w:spacing w:after="0" w:line="360" w:lineRule="auto"/>
        <w:jc w:val="both"/>
        <w:rPr>
          <w:rFonts w:ascii="Times New Roman" w:eastAsia="Calibri" w:hAnsi="Times New Roman" w:cs="Times New Roman"/>
          <w:color w:val="000000"/>
          <w:sz w:val="24"/>
          <w:szCs w:val="24"/>
        </w:rPr>
      </w:pPr>
    </w:p>
    <w:p w14:paraId="30B71923" w14:textId="49608B97" w:rsidR="002D3BD8" w:rsidRPr="00893EC4" w:rsidRDefault="002D3BD8" w:rsidP="002D3BD8">
      <w:pPr>
        <w:autoSpaceDE w:val="0"/>
        <w:autoSpaceDN w:val="0"/>
        <w:adjustRightInd w:val="0"/>
        <w:spacing w:after="0" w:line="360" w:lineRule="auto"/>
        <w:jc w:val="both"/>
        <w:rPr>
          <w:rFonts w:ascii="Times New Roman" w:eastAsia="Calibri" w:hAnsi="Times New Roman" w:cs="Times New Roman"/>
          <w:color w:val="000000"/>
          <w:sz w:val="24"/>
          <w:szCs w:val="24"/>
        </w:rPr>
      </w:pPr>
      <w:r w:rsidRPr="00893EC4">
        <w:rPr>
          <w:rFonts w:ascii="Times New Roman" w:eastAsia="Calibri" w:hAnsi="Times New Roman" w:cs="Times New Roman"/>
          <w:color w:val="000000"/>
          <w:sz w:val="24"/>
          <w:szCs w:val="24"/>
        </w:rPr>
        <w:t>Współpraca środowiska naukowo-biznesowego jest ograniczona barierami, które są ważnymi czynnikami powodującymi u partnerów pewien rodzaj zniechęcenia do nawiązywania relacji. Współpraca charakteryzuje się często rozbieżnością interesów, oczekiwań i innym rozumieniem celowości badań wspieranych przez biznes. Różnice dotyczą kultury organizacyjnej, horyzontu czasowego realizowanych przedsięwzięć, gdzie środowisko biznesowe zorientowane jest na perspektywę kilkumiesięczną, natomiast środowisko naukowe na perspektywę kilkuletnią. Przedstawiciele biznesu zorientowani są na działania, wdrażanie nowych rozwiązań, produktów i usług w skali rynkowej, na której prowadzą działalność go-spodarczą, w przeciwieństwie do uczelni, które swoje publikacje udostępniają przekraczając granice kraju i upowszechniają swoje wyniki badań na całym świecie. W mentalności przed-siębiorców wynagrodzeniem jest zawsze zysk, natomiast uczelnie zwracają uwagę na prestiż i uznanie</w:t>
      </w:r>
      <w:r w:rsidR="00D36E9B">
        <w:rPr>
          <w:rFonts w:ascii="Times New Roman" w:eastAsia="Calibri" w:hAnsi="Times New Roman" w:cs="Times New Roman"/>
          <w:color w:val="000000"/>
          <w:sz w:val="24"/>
          <w:szCs w:val="24"/>
        </w:rPr>
        <w:t>.</w:t>
      </w:r>
      <w:r w:rsidRPr="00893EC4">
        <w:rPr>
          <w:rFonts w:ascii="Times New Roman" w:eastAsia="Calibri" w:hAnsi="Times New Roman" w:cs="Times New Roman"/>
          <w:color w:val="000000"/>
          <w:sz w:val="24"/>
          <w:szCs w:val="24"/>
        </w:rPr>
        <w:t xml:space="preserve"> Poddając analizie strategicznej warunki współpracy środowiska naukowo-biznesowego można wskazać ograniczenia i potencjał w rozwoju innowacji i komercjalizacji wiedzy.</w:t>
      </w:r>
    </w:p>
    <w:p w14:paraId="1EF4BC65" w14:textId="578702AE" w:rsidR="003449E5" w:rsidRDefault="003449E5" w:rsidP="003449E5">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31E6F7FA" w14:textId="54D7C4B9" w:rsidR="002D3BD8" w:rsidRPr="002D3BD8" w:rsidRDefault="002D3BD8" w:rsidP="003449E5">
      <w:pPr>
        <w:autoSpaceDE w:val="0"/>
        <w:autoSpaceDN w:val="0"/>
        <w:adjustRightInd w:val="0"/>
        <w:spacing w:after="0" w:line="360" w:lineRule="auto"/>
        <w:jc w:val="both"/>
        <w:rPr>
          <w:rFonts w:ascii="Times New Roman" w:eastAsia="Calibri" w:hAnsi="Times New Roman" w:cs="Times New Roman"/>
          <w:color w:val="000000"/>
          <w:sz w:val="24"/>
          <w:szCs w:val="24"/>
        </w:rPr>
      </w:pPr>
      <w:r w:rsidRPr="002D3BD8">
        <w:rPr>
          <w:rFonts w:ascii="Times New Roman" w:eastAsia="Calibri" w:hAnsi="Times New Roman" w:cs="Times New Roman"/>
          <w:color w:val="000000"/>
          <w:sz w:val="24"/>
          <w:szCs w:val="24"/>
        </w:rPr>
        <w:t xml:space="preserve">Przykłady z praktyki gospodarczej dostarczają wiedzy na temat rozwoju współpracy, jej warunków i toku realizacji. Jednym z nich jest przedsiębiorstwo Comarch S.A., które uruchomiło we współpracy z polskimi i zagranicznymi uczelniami program Comarch Innova-tion Lab. Program realizowany jest w trzech miastach: w Insbrucku w Austrii oraz w Krakowie i we Wrocławiu w Polsce. Celem projektu jest rozpoczęcie ścieżki zawodowej dla najlepszych studentów rozpoczynającej się od przygotowania pracy magisterskiej czy projektu na rzecz firmy. Przedsiębiorstwo Comarch realizuje współpracę ze środowiskiem nauki poprzez uczestnictwo w Radzie Biznesu Wydziału Ekonomiczno-Socjologicznego Uniwersytetu Łódzkiego. Celem współpracy jest stworzenie platformy w zakresie tworzenia wysokiej jakości dorobku naukowego, usprawniania procesów edukacyjnych i uaktywnienia kontaktów </w:t>
      </w:r>
      <w:r w:rsidRPr="002D3BD8">
        <w:rPr>
          <w:rFonts w:ascii="Times New Roman" w:eastAsia="Calibri" w:hAnsi="Times New Roman" w:cs="Times New Roman"/>
          <w:color w:val="000000"/>
          <w:sz w:val="24"/>
          <w:szCs w:val="24"/>
        </w:rPr>
        <w:lastRenderedPageBreak/>
        <w:t>biznesowych. Środowisko nauki i biznesu ma szansę na wykorzystanie posiadanych zasoby i potencjału oraz może wpłynąć na poprawę jakości bazy naukowo-edukacyjnej w regionie łódzkim . W działalności organizacji wiedza pełni kluczową rolę, współpraca środowiska nauki i biznesu przynosi korzyści dla obu stron. Rozwiązania rynkowe mają szansę stać się bardziej konkurencyjnymi a uczelnie rozpowszechniają i komercjalizują dorobek naukowy. Współpraca ta ma pozytywny wpływ na rozwój regionów i miast, gdzie za-chodzą te procesy.</w:t>
      </w:r>
    </w:p>
    <w:p w14:paraId="23376B42" w14:textId="77777777" w:rsidR="00D36E9B" w:rsidRDefault="00D36E9B" w:rsidP="006559DD">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20F04FDC" w14:textId="717EA972" w:rsidR="006559DD" w:rsidRPr="006559DD" w:rsidRDefault="006559DD" w:rsidP="006559DD">
      <w:pPr>
        <w:autoSpaceDE w:val="0"/>
        <w:autoSpaceDN w:val="0"/>
        <w:adjustRightInd w:val="0"/>
        <w:spacing w:after="0" w:line="360" w:lineRule="auto"/>
        <w:jc w:val="both"/>
        <w:rPr>
          <w:rFonts w:ascii="Times New Roman" w:eastAsia="Calibri" w:hAnsi="Times New Roman" w:cs="Times New Roman"/>
          <w:color w:val="000000"/>
          <w:sz w:val="24"/>
          <w:szCs w:val="24"/>
        </w:rPr>
      </w:pPr>
      <w:r w:rsidRPr="006559DD">
        <w:rPr>
          <w:rFonts w:ascii="Times New Roman" w:eastAsia="Calibri" w:hAnsi="Times New Roman" w:cs="Times New Roman"/>
          <w:color w:val="000000"/>
          <w:sz w:val="24"/>
          <w:szCs w:val="24"/>
        </w:rPr>
        <w:t>Dążenie do zwiększania innowacyjności i konkurencyjności miast zaowocowało zaintereso-waniem instrumentami intensyfikacji współpracy nauki, biznesu i administracji lokalnej. Długoletnie doświadczenia wskazują, że współpraca środowiska nauki, biznesu i administracji jest trudna do zorganizowania. Różnice występują w obszarach realizacji badań naukowych, eksperymentach naukowych, które są domeną naukowców, dążenia do nadwyżki ekonomicznej, koncentracji na rozszerzaniu rynku przez przedsiębiorców oraz tworzenia korzystnych warunków do życia w mieście, gdzie duże znaczenie ma infrastruktura drogowa, dostępność do mediów i pozostałe inwestycje miejskie jak renowacje obiektów zabytkowych i rewaloryzacje obiektów turystycznych, realizowanych przez urzędy miast. M. Nalewajek  zaznacza, że nie każdy podmiot jest świadomy, że współpraca może istnieć. Niektórzy naukowcy nie są jeszcze świadomi tego, że niektóre rozwiązania mogą mieć szansę na komercjalizację, a środowisko biznesu nie zdaje sobie sprawy, że niektóre z ich problemów mogą być z powodzeniem rozwiązane przez naukowców. Taka świadomość nie zawsze prowadzi do nawiązania współpracy. M. Nalewajek wskazuje na bariery, które hamują rozwój kooperacji. Są one związane z systemem prawnym, rynkiem (struktura i stan gospodarki), mentalnością (przekonania osób charakterystyczne dla danego środowiska) oraz barierami naukowymi bezpośrednio odnoszącymi się do sposobu działania uniwersytetów i przedsiębiorstw w środowisku, w którym funkcjonują.</w:t>
      </w:r>
    </w:p>
    <w:p w14:paraId="785FC637" w14:textId="18D2CA00" w:rsidR="003449E5" w:rsidRDefault="006559DD" w:rsidP="006559DD">
      <w:pPr>
        <w:autoSpaceDE w:val="0"/>
        <w:autoSpaceDN w:val="0"/>
        <w:adjustRightInd w:val="0"/>
        <w:spacing w:after="0" w:line="360" w:lineRule="auto"/>
        <w:jc w:val="both"/>
        <w:rPr>
          <w:rFonts w:ascii="Times New Roman" w:eastAsia="Calibri" w:hAnsi="Times New Roman" w:cs="Times New Roman"/>
          <w:color w:val="000000"/>
          <w:sz w:val="24"/>
          <w:szCs w:val="24"/>
        </w:rPr>
      </w:pPr>
      <w:r w:rsidRPr="006559DD">
        <w:rPr>
          <w:rFonts w:ascii="Times New Roman" w:eastAsia="Calibri" w:hAnsi="Times New Roman" w:cs="Times New Roman"/>
          <w:color w:val="000000"/>
          <w:sz w:val="24"/>
          <w:szCs w:val="24"/>
        </w:rPr>
        <w:t xml:space="preserve">Konkurencyjne otoczenie wymaga poszukiwania w relacjach nauki i biznesu niekonwencjonalnych rozwiązań, pozwalających budować przewagę konkurencyjną lokalnych systemów wytwórczych. Gospodarka opiera się na zdolnościach innowacyjnych, które zależą od sieciowo zorganizowanej kooperacji o cechach systemów regionalnych łączących środowisko nauki, biznesu i administracji lokalnej. Rezultatem jest rozwój regionalnego partnerstwa na rzecz gospodarki i kształtowanie się współpracy opartej na koncepcji potrójnej helisy, czyli systemu bazującego na kooperacji podmiotów reprezentujących trzy środowiska: administracji publicznej, nauki oraz biznesu. Współpraca tych trzech sfer określana jest w lite-raturze mianem potrójnej helisy (Triple Helix) , a teoria potrójnej helisy nawiązuje do łańcucha </w:t>
      </w:r>
      <w:r w:rsidRPr="006559DD">
        <w:rPr>
          <w:rFonts w:ascii="Times New Roman" w:eastAsia="Calibri" w:hAnsi="Times New Roman" w:cs="Times New Roman"/>
          <w:color w:val="000000"/>
          <w:sz w:val="24"/>
          <w:szCs w:val="24"/>
        </w:rPr>
        <w:lastRenderedPageBreak/>
        <w:t>składającego się ze spiralnie zwiniętych i komplementarnych względem siebie łańcuchów charakteryzujących pewien szczególny model współpracy. Przedstawiciele każdego ze środowisk w ramach współpracy wnoszą określone zasoby, oczekując wartości dodanej z podjętej kooperacji</w:t>
      </w:r>
      <w:r w:rsidR="00D36E9B">
        <w:rPr>
          <w:rFonts w:ascii="Times New Roman" w:eastAsia="Calibri" w:hAnsi="Times New Roman" w:cs="Times New Roman"/>
          <w:color w:val="000000"/>
          <w:sz w:val="24"/>
          <w:szCs w:val="24"/>
        </w:rPr>
        <w:t>.</w:t>
      </w:r>
    </w:p>
    <w:p w14:paraId="245C6F1B" w14:textId="3D1A317A" w:rsidR="003449E5" w:rsidRDefault="003449E5" w:rsidP="003449E5">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Konkurencyjność gospodarki jest rozpatrywana w wielu wymiarach. Koncentrują się one na wymiarze międzynarodowym bądź lokalnym. Zmiany, jakie d</w:t>
      </w:r>
      <w:r w:rsidRPr="00C505D6">
        <w:rPr>
          <w:rFonts w:ascii="Times New Roman" w:eastAsia="Calibri" w:hAnsi="Times New Roman" w:cs="Times New Roman"/>
          <w:color w:val="000000"/>
          <w:sz w:val="24"/>
          <w:szCs w:val="24"/>
        </w:rPr>
        <w:t>okonują się</w:t>
      </w:r>
      <w:r>
        <w:rPr>
          <w:rFonts w:ascii="Times New Roman" w:eastAsia="Calibri" w:hAnsi="Times New Roman" w:cs="Times New Roman"/>
          <w:color w:val="000000"/>
          <w:sz w:val="24"/>
          <w:szCs w:val="24"/>
        </w:rPr>
        <w:t xml:space="preserve"> </w:t>
      </w:r>
      <w:r w:rsidRPr="00C505D6">
        <w:rPr>
          <w:rFonts w:ascii="Times New Roman" w:eastAsia="Calibri" w:hAnsi="Times New Roman" w:cs="Times New Roman"/>
          <w:color w:val="000000"/>
          <w:sz w:val="24"/>
          <w:szCs w:val="24"/>
        </w:rPr>
        <w:t xml:space="preserve">pod wpływem kolejnej fali rewolucji naukowo-technologicznej </w:t>
      </w:r>
      <w:r>
        <w:rPr>
          <w:rFonts w:ascii="Times New Roman" w:eastAsia="Calibri" w:hAnsi="Times New Roman" w:cs="Times New Roman"/>
          <w:color w:val="000000"/>
          <w:sz w:val="24"/>
          <w:szCs w:val="24"/>
        </w:rPr>
        <w:t>mają k</w:t>
      </w:r>
      <w:r w:rsidRPr="00C505D6">
        <w:rPr>
          <w:rFonts w:ascii="Times New Roman" w:eastAsia="Calibri" w:hAnsi="Times New Roman" w:cs="Times New Roman"/>
          <w:color w:val="000000"/>
          <w:sz w:val="24"/>
          <w:szCs w:val="24"/>
        </w:rPr>
        <w:t>luczowe</w:t>
      </w:r>
      <w:r>
        <w:rPr>
          <w:rFonts w:ascii="Times New Roman" w:eastAsia="Calibri" w:hAnsi="Times New Roman" w:cs="Times New Roman"/>
          <w:color w:val="000000"/>
          <w:sz w:val="24"/>
          <w:szCs w:val="24"/>
        </w:rPr>
        <w:t xml:space="preserve"> znaczenie</w:t>
      </w:r>
      <w:r w:rsidRPr="00C505D6">
        <w:rPr>
          <w:rFonts w:ascii="Times New Roman" w:eastAsia="Calibri" w:hAnsi="Times New Roman" w:cs="Times New Roman"/>
          <w:color w:val="000000"/>
          <w:sz w:val="24"/>
          <w:szCs w:val="24"/>
        </w:rPr>
        <w:t xml:space="preserve"> dla wzrostu gospodarczego i rozwoju społeczno-ekonomicznego</w:t>
      </w:r>
      <w:r>
        <w:rPr>
          <w:rFonts w:ascii="Times New Roman" w:eastAsia="Calibri" w:hAnsi="Times New Roman" w:cs="Times New Roman"/>
          <w:color w:val="000000"/>
          <w:sz w:val="24"/>
          <w:szCs w:val="24"/>
        </w:rPr>
        <w:t xml:space="preserve">. Czynniki produkcji </w:t>
      </w:r>
      <w:r w:rsidRPr="00C505D6">
        <w:rPr>
          <w:rFonts w:ascii="Times New Roman" w:eastAsia="Calibri" w:hAnsi="Times New Roman" w:cs="Times New Roman"/>
          <w:color w:val="000000"/>
          <w:sz w:val="24"/>
          <w:szCs w:val="24"/>
        </w:rPr>
        <w:t>taki</w:t>
      </w:r>
      <w:r>
        <w:rPr>
          <w:rFonts w:ascii="Times New Roman" w:eastAsia="Calibri" w:hAnsi="Times New Roman" w:cs="Times New Roman"/>
          <w:color w:val="000000"/>
          <w:sz w:val="24"/>
          <w:szCs w:val="24"/>
        </w:rPr>
        <w:t>e</w:t>
      </w:r>
      <w:r w:rsidRPr="00C505D6">
        <w:rPr>
          <w:rFonts w:ascii="Times New Roman" w:eastAsia="Calibri" w:hAnsi="Times New Roman" w:cs="Times New Roman"/>
          <w:color w:val="000000"/>
          <w:sz w:val="24"/>
          <w:szCs w:val="24"/>
        </w:rPr>
        <w:t xml:space="preserve"> jak</w:t>
      </w:r>
      <w:r>
        <w:rPr>
          <w:rFonts w:ascii="Times New Roman" w:eastAsia="Calibri" w:hAnsi="Times New Roman" w:cs="Times New Roman"/>
          <w:color w:val="000000"/>
          <w:sz w:val="24"/>
          <w:szCs w:val="24"/>
        </w:rPr>
        <w:t>,</w:t>
      </w:r>
      <w:r w:rsidRPr="00C505D6">
        <w:rPr>
          <w:rFonts w:ascii="Times New Roman" w:eastAsia="Calibri" w:hAnsi="Times New Roman" w:cs="Times New Roman"/>
          <w:color w:val="000000"/>
          <w:sz w:val="24"/>
          <w:szCs w:val="24"/>
        </w:rPr>
        <w:t xml:space="preserve"> zasoby naturalne, klimat, kapitał i praca </w:t>
      </w:r>
      <w:r>
        <w:rPr>
          <w:rFonts w:ascii="Times New Roman" w:eastAsia="Calibri" w:hAnsi="Times New Roman" w:cs="Times New Roman"/>
          <w:color w:val="000000"/>
          <w:sz w:val="24"/>
          <w:szCs w:val="24"/>
        </w:rPr>
        <w:t xml:space="preserve">zostały zdominowane przez kapitał intelektualny, </w:t>
      </w:r>
      <w:r w:rsidRPr="00C505D6">
        <w:rPr>
          <w:rFonts w:ascii="Times New Roman" w:eastAsia="Calibri" w:hAnsi="Times New Roman" w:cs="Times New Roman"/>
          <w:color w:val="000000"/>
          <w:sz w:val="24"/>
          <w:szCs w:val="24"/>
        </w:rPr>
        <w:t xml:space="preserve">innowacyjne technologie </w:t>
      </w:r>
      <w:r>
        <w:rPr>
          <w:rFonts w:ascii="Times New Roman" w:eastAsia="Calibri" w:hAnsi="Times New Roman" w:cs="Times New Roman"/>
          <w:color w:val="000000"/>
          <w:sz w:val="24"/>
          <w:szCs w:val="24"/>
        </w:rPr>
        <w:t>oraz proces transferu wiedzy i technologii do gospodarki. Pewną siłą przetargową dla gospodarki Polski, jak i poszczególnych miast jest wypracowanie systemu, który angażowałby podmioty dysponujące niezbędnymi zasobami do sieci współpracy. W niniejszej rozprawie doktorskiej skoncentrowano się na ocenie gotowości takich podmiotów do podejmowania i realizacji kooperacji odwołując się do koncepcji potrójnej helisy</w:t>
      </w:r>
      <w:r>
        <w:rPr>
          <w:rStyle w:val="Odwoanieprzypisudolnego"/>
          <w:rFonts w:ascii="Times New Roman" w:eastAsia="Calibri" w:hAnsi="Times New Roman" w:cs="Times New Roman"/>
          <w:color w:val="000000"/>
          <w:sz w:val="24"/>
          <w:szCs w:val="24"/>
        </w:rPr>
        <w:footnoteReference w:id="1"/>
      </w:r>
      <w:r>
        <w:rPr>
          <w:rFonts w:ascii="Times New Roman" w:eastAsia="Calibri" w:hAnsi="Times New Roman" w:cs="Times New Roman"/>
          <w:color w:val="000000"/>
          <w:sz w:val="24"/>
          <w:szCs w:val="24"/>
        </w:rPr>
        <w:t>. Funkcjonowanie</w:t>
      </w:r>
      <w:r w:rsidRPr="002A2CE7">
        <w:rPr>
          <w:rFonts w:ascii="Times New Roman" w:eastAsia="Calibri" w:hAnsi="Times New Roman" w:cs="Times New Roman"/>
          <w:color w:val="000000"/>
          <w:sz w:val="24"/>
          <w:szCs w:val="24"/>
        </w:rPr>
        <w:t xml:space="preserve"> potrójnej helisy</w:t>
      </w:r>
      <w:r w:rsidRPr="002A2CE7">
        <w:rPr>
          <w:rStyle w:val="Odwoanieprzypisudolnego"/>
          <w:rFonts w:ascii="Times New Roman" w:eastAsia="Calibri" w:hAnsi="Times New Roman" w:cs="Times New Roman"/>
          <w:color w:val="000000"/>
          <w:sz w:val="24"/>
          <w:szCs w:val="24"/>
        </w:rPr>
        <w:footnoteReference w:id="2"/>
      </w:r>
      <w:r w:rsidRPr="002A2CE7">
        <w:rPr>
          <w:rFonts w:ascii="Times New Roman" w:eastAsia="Calibri" w:hAnsi="Times New Roman" w:cs="Times New Roman"/>
          <w:color w:val="000000"/>
          <w:sz w:val="24"/>
          <w:szCs w:val="24"/>
        </w:rPr>
        <w:t xml:space="preserve"> to sposób poszukiwania efektów synergii wynikających ze współpracy poszczególnych podmiotów wchodzących w jej skład</w:t>
      </w:r>
      <w:r w:rsidRPr="002A2CE7">
        <w:rPr>
          <w:rFonts w:ascii="Times New Roman" w:eastAsia="Calibri" w:hAnsi="Times New Roman" w:cs="Times New Roman"/>
          <w:color w:val="000000"/>
          <w:sz w:val="24"/>
          <w:szCs w:val="24"/>
          <w:vertAlign w:val="superscript"/>
        </w:rPr>
        <w:footnoteReference w:id="3"/>
      </w:r>
      <w:r w:rsidRPr="002A2CE7">
        <w:rPr>
          <w:rFonts w:ascii="Times New Roman" w:eastAsia="Calibri" w:hAnsi="Times New Roman" w:cs="Times New Roman"/>
          <w:color w:val="000000"/>
          <w:sz w:val="24"/>
          <w:szCs w:val="24"/>
        </w:rPr>
        <w:t xml:space="preserve">. </w:t>
      </w:r>
      <w:r w:rsidRPr="008705EE">
        <w:rPr>
          <w:rFonts w:ascii="Times New Roman" w:eastAsia="Calibri" w:hAnsi="Times New Roman" w:cs="Times New Roman"/>
          <w:color w:val="000000"/>
          <w:sz w:val="24"/>
          <w:szCs w:val="24"/>
        </w:rPr>
        <w:t xml:space="preserve">Koncepcja </w:t>
      </w:r>
      <w:r>
        <w:rPr>
          <w:rFonts w:ascii="Times New Roman" w:eastAsia="Calibri" w:hAnsi="Times New Roman" w:cs="Times New Roman"/>
          <w:color w:val="000000"/>
          <w:sz w:val="24"/>
          <w:szCs w:val="24"/>
        </w:rPr>
        <w:t>potrójnej helisy</w:t>
      </w:r>
      <w:r w:rsidRPr="008705EE">
        <w:rPr>
          <w:rFonts w:ascii="Times New Roman" w:eastAsia="Calibri" w:hAnsi="Times New Roman" w:cs="Times New Roman"/>
          <w:color w:val="000000"/>
          <w:sz w:val="24"/>
          <w:szCs w:val="24"/>
        </w:rPr>
        <w:t xml:space="preserve"> jest </w:t>
      </w:r>
      <w:r>
        <w:rPr>
          <w:rFonts w:ascii="Times New Roman" w:eastAsia="Calibri" w:hAnsi="Times New Roman" w:cs="Times New Roman"/>
          <w:color w:val="000000"/>
          <w:sz w:val="24"/>
          <w:szCs w:val="24"/>
        </w:rPr>
        <w:t>pojęciem, które zawiera</w:t>
      </w:r>
      <w:r w:rsidRPr="008705EE">
        <w:rPr>
          <w:rFonts w:ascii="Times New Roman" w:eastAsia="Calibri" w:hAnsi="Times New Roman" w:cs="Times New Roman"/>
          <w:color w:val="000000"/>
          <w:sz w:val="24"/>
          <w:szCs w:val="24"/>
        </w:rPr>
        <w:t xml:space="preserve"> zakres rozważań teoretycznych i badań empirycznych z zakresu relacji między trzema </w:t>
      </w:r>
      <w:r>
        <w:rPr>
          <w:rFonts w:ascii="Times New Roman" w:eastAsia="Calibri" w:hAnsi="Times New Roman" w:cs="Times New Roman"/>
          <w:color w:val="000000"/>
          <w:sz w:val="24"/>
          <w:szCs w:val="24"/>
        </w:rPr>
        <w:t>podmiotami</w:t>
      </w:r>
      <w:r w:rsidRPr="008705E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mianowicie środowiskiem</w:t>
      </w:r>
      <w:r w:rsidRPr="008705EE">
        <w:rPr>
          <w:rFonts w:ascii="Times New Roman" w:eastAsia="Calibri" w:hAnsi="Times New Roman" w:cs="Times New Roman"/>
          <w:color w:val="000000"/>
          <w:sz w:val="24"/>
          <w:szCs w:val="24"/>
        </w:rPr>
        <w:t xml:space="preserve"> nauki, biznesu i administracj</w:t>
      </w:r>
      <w:r>
        <w:rPr>
          <w:rFonts w:ascii="Times New Roman" w:eastAsia="Calibri" w:hAnsi="Times New Roman" w:cs="Times New Roman"/>
          <w:color w:val="000000"/>
          <w:sz w:val="24"/>
          <w:szCs w:val="24"/>
        </w:rPr>
        <w:t>i.</w:t>
      </w:r>
      <w:r w:rsidRPr="008705E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Koncepcja ta nawiązuje </w:t>
      </w:r>
      <w:r w:rsidRPr="008705EE">
        <w:rPr>
          <w:rFonts w:ascii="Times New Roman" w:eastAsia="Calibri" w:hAnsi="Times New Roman" w:cs="Times New Roman"/>
          <w:color w:val="000000"/>
          <w:sz w:val="24"/>
          <w:szCs w:val="24"/>
        </w:rPr>
        <w:t xml:space="preserve">bezpośrednio do </w:t>
      </w:r>
      <w:r>
        <w:rPr>
          <w:rFonts w:ascii="Times New Roman" w:eastAsia="Calibri" w:hAnsi="Times New Roman" w:cs="Times New Roman"/>
          <w:color w:val="000000"/>
          <w:sz w:val="24"/>
          <w:szCs w:val="24"/>
        </w:rPr>
        <w:t xml:space="preserve">interakcji trzech środowisk </w:t>
      </w:r>
      <w:r w:rsidRPr="008705EE">
        <w:rPr>
          <w:rFonts w:ascii="Times New Roman" w:eastAsia="Calibri" w:hAnsi="Times New Roman" w:cs="Times New Roman"/>
          <w:color w:val="000000"/>
          <w:sz w:val="24"/>
          <w:szCs w:val="24"/>
        </w:rPr>
        <w:t xml:space="preserve">i tworzy ramy opisu powiązanych z tym zjawisk. Istota koncepcji polega na tym, </w:t>
      </w:r>
      <w:r>
        <w:rPr>
          <w:rFonts w:ascii="Times New Roman" w:eastAsia="Calibri" w:hAnsi="Times New Roman" w:cs="Times New Roman"/>
          <w:color w:val="000000"/>
          <w:sz w:val="24"/>
          <w:szCs w:val="24"/>
        </w:rPr>
        <w:t xml:space="preserve">że działania zachodzące w każdym ze środowisk, a także </w:t>
      </w:r>
      <w:r w:rsidRPr="008705EE">
        <w:rPr>
          <w:rFonts w:ascii="Times New Roman" w:eastAsia="Calibri" w:hAnsi="Times New Roman" w:cs="Times New Roman"/>
          <w:color w:val="000000"/>
          <w:sz w:val="24"/>
          <w:szCs w:val="24"/>
        </w:rPr>
        <w:t>relacj</w:t>
      </w:r>
      <w:r>
        <w:rPr>
          <w:rFonts w:ascii="Times New Roman" w:eastAsia="Calibri" w:hAnsi="Times New Roman" w:cs="Times New Roman"/>
          <w:color w:val="000000"/>
          <w:sz w:val="24"/>
          <w:szCs w:val="24"/>
        </w:rPr>
        <w:t>e</w:t>
      </w:r>
      <w:r w:rsidRPr="008705EE">
        <w:rPr>
          <w:rFonts w:ascii="Times New Roman" w:eastAsia="Calibri" w:hAnsi="Times New Roman" w:cs="Times New Roman"/>
          <w:color w:val="000000"/>
          <w:sz w:val="24"/>
          <w:szCs w:val="24"/>
        </w:rPr>
        <w:t xml:space="preserve"> między nimi, przekłada</w:t>
      </w:r>
      <w:r>
        <w:rPr>
          <w:rFonts w:ascii="Times New Roman" w:eastAsia="Calibri" w:hAnsi="Times New Roman" w:cs="Times New Roman"/>
          <w:color w:val="000000"/>
          <w:sz w:val="24"/>
          <w:szCs w:val="24"/>
        </w:rPr>
        <w:t>ją</w:t>
      </w:r>
      <w:r w:rsidRPr="008705EE">
        <w:rPr>
          <w:rFonts w:ascii="Times New Roman" w:eastAsia="Calibri" w:hAnsi="Times New Roman" w:cs="Times New Roman"/>
          <w:color w:val="000000"/>
          <w:sz w:val="24"/>
          <w:szCs w:val="24"/>
        </w:rPr>
        <w:t xml:space="preserve"> się na funkcjonowanie systemu społeczno-gospodarczego region</w:t>
      </w:r>
      <w:r>
        <w:rPr>
          <w:rFonts w:ascii="Times New Roman" w:eastAsia="Calibri" w:hAnsi="Times New Roman" w:cs="Times New Roman"/>
          <w:color w:val="000000"/>
          <w:sz w:val="24"/>
          <w:szCs w:val="24"/>
        </w:rPr>
        <w:t>ów</w:t>
      </w:r>
      <w:r>
        <w:rPr>
          <w:rStyle w:val="Odwoanieprzypisudolnego"/>
          <w:rFonts w:ascii="Times New Roman" w:eastAsia="Calibri" w:hAnsi="Times New Roman" w:cs="Times New Roman"/>
          <w:color w:val="000000"/>
          <w:sz w:val="24"/>
          <w:szCs w:val="24"/>
        </w:rPr>
        <w:footnoteReference w:id="4"/>
      </w:r>
      <w:r>
        <w:rPr>
          <w:rFonts w:ascii="Times New Roman" w:eastAsia="Calibri" w:hAnsi="Times New Roman" w:cs="Times New Roman"/>
          <w:color w:val="000000"/>
          <w:sz w:val="24"/>
          <w:szCs w:val="24"/>
        </w:rPr>
        <w:t xml:space="preserve"> oraz miast będących docelowym miejscem inwestycji przedsiębiorstw</w:t>
      </w:r>
      <w:r w:rsidRPr="008705E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L. Knop i S. Olko zaznaczają, że tak powstaje s</w:t>
      </w:r>
      <w:r w:rsidRPr="0081187D">
        <w:rPr>
          <w:rFonts w:ascii="Times New Roman" w:eastAsia="Calibri" w:hAnsi="Times New Roman" w:cs="Times New Roman"/>
          <w:color w:val="000000"/>
          <w:sz w:val="24"/>
          <w:szCs w:val="24"/>
        </w:rPr>
        <w:t>ieć współpracy</w:t>
      </w:r>
      <w:r>
        <w:rPr>
          <w:rFonts w:ascii="Times New Roman" w:eastAsia="Calibri" w:hAnsi="Times New Roman" w:cs="Times New Roman"/>
          <w:color w:val="000000"/>
          <w:sz w:val="24"/>
          <w:szCs w:val="24"/>
        </w:rPr>
        <w:t>, która</w:t>
      </w:r>
      <w:r w:rsidRPr="0081187D">
        <w:rPr>
          <w:rFonts w:ascii="Times New Roman" w:eastAsia="Calibri" w:hAnsi="Times New Roman" w:cs="Times New Roman"/>
          <w:color w:val="000000"/>
          <w:sz w:val="24"/>
          <w:szCs w:val="24"/>
        </w:rPr>
        <w:t xml:space="preserve"> jest organizacją, </w:t>
      </w:r>
      <w:r>
        <w:rPr>
          <w:rFonts w:ascii="Times New Roman" w:eastAsia="Calibri" w:hAnsi="Times New Roman" w:cs="Times New Roman"/>
          <w:color w:val="000000"/>
          <w:sz w:val="24"/>
          <w:szCs w:val="24"/>
        </w:rPr>
        <w:t xml:space="preserve">gdzie </w:t>
      </w:r>
      <w:r w:rsidRPr="0081187D">
        <w:rPr>
          <w:rFonts w:ascii="Times New Roman" w:eastAsia="Calibri" w:hAnsi="Times New Roman" w:cs="Times New Roman"/>
          <w:color w:val="000000"/>
          <w:sz w:val="24"/>
          <w:szCs w:val="24"/>
        </w:rPr>
        <w:t>członkami są osoby fizyczne lub instytucje, posiadające wspólne cele, wchodzą</w:t>
      </w:r>
      <w:r>
        <w:rPr>
          <w:rFonts w:ascii="Times New Roman" w:eastAsia="Calibri" w:hAnsi="Times New Roman" w:cs="Times New Roman"/>
          <w:color w:val="000000"/>
          <w:sz w:val="24"/>
          <w:szCs w:val="24"/>
        </w:rPr>
        <w:t>ce</w:t>
      </w:r>
      <w:r w:rsidRPr="0081187D">
        <w:rPr>
          <w:rFonts w:ascii="Times New Roman" w:eastAsia="Calibri" w:hAnsi="Times New Roman" w:cs="Times New Roman"/>
          <w:color w:val="000000"/>
          <w:sz w:val="24"/>
          <w:szCs w:val="24"/>
        </w:rPr>
        <w:t xml:space="preserve"> we wzajemne relacje i podejmuj</w:t>
      </w:r>
      <w:r w:rsidR="006559DD">
        <w:rPr>
          <w:rFonts w:ascii="Times New Roman" w:eastAsia="Calibri" w:hAnsi="Times New Roman" w:cs="Times New Roman"/>
          <w:color w:val="000000"/>
          <w:sz w:val="24"/>
          <w:szCs w:val="24"/>
        </w:rPr>
        <w:t>ą</w:t>
      </w:r>
      <w:r>
        <w:rPr>
          <w:rFonts w:ascii="Times New Roman" w:eastAsia="Calibri" w:hAnsi="Times New Roman" w:cs="Times New Roman"/>
          <w:color w:val="000000"/>
          <w:sz w:val="24"/>
          <w:szCs w:val="24"/>
        </w:rPr>
        <w:t>ce</w:t>
      </w:r>
      <w:r w:rsidRPr="0081187D">
        <w:rPr>
          <w:rFonts w:ascii="Times New Roman" w:eastAsia="Calibri" w:hAnsi="Times New Roman" w:cs="Times New Roman"/>
          <w:color w:val="000000"/>
          <w:sz w:val="24"/>
          <w:szCs w:val="24"/>
        </w:rPr>
        <w:t xml:space="preserve"> wspólne działania</w:t>
      </w:r>
      <w:r>
        <w:rPr>
          <w:rStyle w:val="Odwoanieprzypisudolnego"/>
          <w:rFonts w:ascii="Times New Roman" w:eastAsia="Calibri" w:hAnsi="Times New Roman" w:cs="Times New Roman"/>
          <w:color w:val="000000"/>
          <w:sz w:val="24"/>
          <w:szCs w:val="24"/>
        </w:rPr>
        <w:footnoteReference w:id="5"/>
      </w:r>
      <w:r w:rsidRPr="0081187D">
        <w:rPr>
          <w:rFonts w:ascii="Times New Roman" w:eastAsia="Calibri" w:hAnsi="Times New Roman" w:cs="Times New Roman"/>
          <w:color w:val="000000"/>
          <w:sz w:val="24"/>
          <w:szCs w:val="24"/>
        </w:rPr>
        <w:t>.</w:t>
      </w:r>
    </w:p>
    <w:p w14:paraId="3FC0E6BB" w14:textId="37DB3DF0" w:rsidR="003449E5" w:rsidRPr="002A2CE7" w:rsidRDefault="003449E5" w:rsidP="00D36E9B">
      <w:pPr>
        <w:autoSpaceDE w:val="0"/>
        <w:autoSpaceDN w:val="0"/>
        <w:adjustRightInd w:val="0"/>
        <w:spacing w:after="0" w:line="360" w:lineRule="auto"/>
        <w:ind w:firstLine="397"/>
        <w:jc w:val="both"/>
        <w:rPr>
          <w:rFonts w:ascii="Times New Roman" w:eastAsia="Calibri" w:hAnsi="Times New Roman" w:cs="Times New Roman"/>
          <w:color w:val="000000"/>
          <w:sz w:val="24"/>
          <w:szCs w:val="24"/>
        </w:rPr>
      </w:pPr>
      <w:r w:rsidRPr="002A2CE7">
        <w:rPr>
          <w:rFonts w:ascii="Times New Roman" w:eastAsia="Calibri" w:hAnsi="Times New Roman" w:cs="Times New Roman"/>
          <w:color w:val="000000"/>
          <w:sz w:val="24"/>
          <w:szCs w:val="24"/>
        </w:rPr>
        <w:t xml:space="preserve">Co prawda, w krajowej literaturze przedmiotu istnieje szereg analiz atrakcyjności inwestycyjnej miast, ale publikacje te, w dużej mierze koncentrują się na zagadnieniach </w:t>
      </w:r>
      <w:r w:rsidRPr="002A2CE7">
        <w:rPr>
          <w:rFonts w:ascii="Times New Roman" w:eastAsia="Calibri" w:hAnsi="Times New Roman" w:cs="Times New Roman"/>
          <w:color w:val="000000"/>
          <w:sz w:val="24"/>
          <w:szCs w:val="24"/>
        </w:rPr>
        <w:lastRenderedPageBreak/>
        <w:t>związanych z </w:t>
      </w:r>
      <w:r>
        <w:rPr>
          <w:rFonts w:ascii="Times New Roman" w:eastAsia="Calibri" w:hAnsi="Times New Roman" w:cs="Times New Roman"/>
          <w:color w:val="000000"/>
          <w:sz w:val="24"/>
          <w:szCs w:val="24"/>
        </w:rPr>
        <w:t>oceną</w:t>
      </w:r>
      <w:r w:rsidRPr="002A2CE7">
        <w:rPr>
          <w:rFonts w:ascii="Times New Roman" w:eastAsia="Calibri" w:hAnsi="Times New Roman" w:cs="Times New Roman"/>
          <w:color w:val="000000"/>
          <w:sz w:val="24"/>
          <w:szCs w:val="24"/>
        </w:rPr>
        <w:t xml:space="preserve"> obecnego stanu </w:t>
      </w:r>
      <w:r>
        <w:rPr>
          <w:rFonts w:ascii="Times New Roman" w:eastAsia="Calibri" w:hAnsi="Times New Roman" w:cs="Times New Roman"/>
          <w:color w:val="000000"/>
          <w:sz w:val="24"/>
          <w:szCs w:val="24"/>
        </w:rPr>
        <w:t xml:space="preserve">rozwoju </w:t>
      </w:r>
      <w:r w:rsidRPr="002A2CE7">
        <w:rPr>
          <w:rFonts w:ascii="Times New Roman" w:eastAsia="Calibri" w:hAnsi="Times New Roman" w:cs="Times New Roman"/>
          <w:color w:val="000000"/>
          <w:sz w:val="24"/>
          <w:szCs w:val="24"/>
        </w:rPr>
        <w:t>destynacji inwestycyjnych</w:t>
      </w:r>
      <w:r>
        <w:rPr>
          <w:rFonts w:ascii="Times New Roman" w:eastAsia="Calibri" w:hAnsi="Times New Roman" w:cs="Times New Roman"/>
          <w:color w:val="000000"/>
          <w:sz w:val="24"/>
          <w:szCs w:val="24"/>
        </w:rPr>
        <w:t xml:space="preserve"> i czynnikach atrakcyjności inwestycyjnej</w:t>
      </w:r>
      <w:r>
        <w:rPr>
          <w:rStyle w:val="Odwoanieprzypisudolnego"/>
          <w:rFonts w:ascii="Times New Roman" w:eastAsia="Calibri" w:hAnsi="Times New Roman" w:cs="Times New Roman"/>
          <w:color w:val="000000"/>
          <w:sz w:val="24"/>
          <w:szCs w:val="24"/>
        </w:rPr>
        <w:footnoteReference w:id="6"/>
      </w:r>
      <w:r w:rsidRPr="002A2CE7">
        <w:rPr>
          <w:rFonts w:ascii="Times New Roman" w:eastAsia="Calibri" w:hAnsi="Times New Roman" w:cs="Times New Roman"/>
          <w:color w:val="000000"/>
          <w:sz w:val="24"/>
          <w:szCs w:val="24"/>
        </w:rPr>
        <w:t>.</w:t>
      </w:r>
    </w:p>
    <w:p w14:paraId="66607018" w14:textId="526E5D3F" w:rsidR="003449E5" w:rsidRPr="00994E76" w:rsidRDefault="003449E5" w:rsidP="003449E5">
      <w:pPr>
        <w:pStyle w:val="Pracadoktorska-tekstgwny"/>
        <w:ind w:firstLine="360"/>
      </w:pPr>
      <w:r w:rsidRPr="00A12D9E">
        <w:rPr>
          <w:rStyle w:val="Pracadoktorska-tekstgwnyZnak"/>
        </w:rPr>
        <w:t>Na potrzeby badania dotyczącego współpracy pomiędzy środowiskiem nauki, biznesu i administracji w Polsce zdecydowano pod</w:t>
      </w:r>
      <w:r>
        <w:rPr>
          <w:rStyle w:val="Pracadoktorska-tekstgwnyZnak"/>
        </w:rPr>
        <w:t>d</w:t>
      </w:r>
      <w:r w:rsidRPr="00A12D9E">
        <w:rPr>
          <w:rStyle w:val="Pracadoktorska-tekstgwnyZnak"/>
        </w:rPr>
        <w:t xml:space="preserve">ać analizie postawy respondentów w obszarach </w:t>
      </w:r>
      <w:r>
        <w:rPr>
          <w:rStyle w:val="Pracadoktorska-tekstgwnyZnak"/>
          <w:i/>
        </w:rPr>
        <w:t>p</w:t>
      </w:r>
      <w:r w:rsidRPr="00604A36">
        <w:rPr>
          <w:rStyle w:val="Pracadoktorska-tekstgwnyZnak"/>
          <w:i/>
        </w:rPr>
        <w:t>rzywództwa</w:t>
      </w:r>
      <w:r w:rsidRPr="00A12D9E">
        <w:rPr>
          <w:rStyle w:val="Pracadoktorska-tekstgwnyZnak"/>
        </w:rPr>
        <w:t xml:space="preserve">, </w:t>
      </w:r>
      <w:r>
        <w:rPr>
          <w:rStyle w:val="Pracadoktorska-tekstgwnyZnak"/>
          <w:i/>
        </w:rPr>
        <w:t>s</w:t>
      </w:r>
      <w:r w:rsidRPr="00604A36">
        <w:rPr>
          <w:rStyle w:val="Pracadoktorska-tekstgwnyZnak"/>
          <w:i/>
        </w:rPr>
        <w:t>tylu zarządzania</w:t>
      </w:r>
      <w:r w:rsidRPr="00A12D9E">
        <w:rPr>
          <w:rStyle w:val="Pracadoktorska-tekstgwnyZnak"/>
        </w:rPr>
        <w:t xml:space="preserve">, </w:t>
      </w:r>
      <w:r>
        <w:rPr>
          <w:rStyle w:val="Pracadoktorska-tekstgwnyZnak"/>
          <w:i/>
        </w:rPr>
        <w:t>k</w:t>
      </w:r>
      <w:r w:rsidRPr="00604A36">
        <w:rPr>
          <w:rStyle w:val="Pracadoktorska-tekstgwnyZnak"/>
          <w:i/>
        </w:rPr>
        <w:t>ompetencji</w:t>
      </w:r>
      <w:r w:rsidRPr="00A12D9E">
        <w:rPr>
          <w:rStyle w:val="Pracadoktorska-tekstgwnyZnak"/>
        </w:rPr>
        <w:t xml:space="preserve"> oraz </w:t>
      </w:r>
      <w:r>
        <w:rPr>
          <w:rStyle w:val="Pracadoktorska-tekstgwnyZnak"/>
          <w:i/>
        </w:rPr>
        <w:t>t</w:t>
      </w:r>
      <w:r w:rsidRPr="00604A36">
        <w:rPr>
          <w:rStyle w:val="Pracadoktorska-tekstgwnyZnak"/>
          <w:i/>
        </w:rPr>
        <w:t>echnologii</w:t>
      </w:r>
      <w:r>
        <w:rPr>
          <w:rStyle w:val="Odwoanieprzypisudolnego"/>
          <w:i/>
        </w:rPr>
        <w:footnoteReference w:id="7"/>
      </w:r>
      <w:r w:rsidRPr="00A12D9E">
        <w:rPr>
          <w:rStyle w:val="Pracadoktorska-tekstgwnyZnak"/>
        </w:rPr>
        <w:t xml:space="preserve">. Celem </w:t>
      </w:r>
      <w:r>
        <w:rPr>
          <w:rStyle w:val="Pracadoktorska-tekstgwnyZnak"/>
        </w:rPr>
        <w:t>było</w:t>
      </w:r>
      <w:r w:rsidRPr="00A12D9E">
        <w:rPr>
          <w:rStyle w:val="Pracadoktorska-tekstgwnyZnak"/>
        </w:rPr>
        <w:t xml:space="preserve"> także stworzenie metody pomiaru odchyleń bieżącego stopnia zaawansowania współpracy</w:t>
      </w:r>
      <w:r w:rsidRPr="002A2CE7">
        <w:t xml:space="preserve"> środowisk</w:t>
      </w:r>
      <w:r>
        <w:t>a</w:t>
      </w:r>
      <w:r w:rsidRPr="002A2CE7">
        <w:t xml:space="preserve"> </w:t>
      </w:r>
      <w:r>
        <w:t>nauki, biznesu oraz administracji lokalnej</w:t>
      </w:r>
      <w:r w:rsidRPr="002A2CE7">
        <w:t xml:space="preserve"> od optymalnego modelu potrójnej helisy</w:t>
      </w:r>
      <w:r w:rsidR="00D36E9B">
        <w:t>.</w:t>
      </w:r>
    </w:p>
    <w:p w14:paraId="07A344F6" w14:textId="77777777" w:rsidR="00804AF0" w:rsidRDefault="00804AF0"/>
    <w:sectPr w:rsidR="00804A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D061" w14:textId="77777777" w:rsidR="00931FAF" w:rsidRDefault="00931FAF" w:rsidP="003449E5">
      <w:pPr>
        <w:spacing w:after="0" w:line="240" w:lineRule="auto"/>
      </w:pPr>
      <w:r>
        <w:separator/>
      </w:r>
    </w:p>
  </w:endnote>
  <w:endnote w:type="continuationSeparator" w:id="0">
    <w:p w14:paraId="30F9829E" w14:textId="77777777" w:rsidR="00931FAF" w:rsidRDefault="00931FAF" w:rsidP="003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6FD0" w14:textId="77777777" w:rsidR="00931FAF" w:rsidRDefault="00931FAF" w:rsidP="003449E5">
      <w:pPr>
        <w:spacing w:after="0" w:line="240" w:lineRule="auto"/>
      </w:pPr>
      <w:r>
        <w:separator/>
      </w:r>
    </w:p>
  </w:footnote>
  <w:footnote w:type="continuationSeparator" w:id="0">
    <w:p w14:paraId="54192025" w14:textId="77777777" w:rsidR="00931FAF" w:rsidRDefault="00931FAF" w:rsidP="003449E5">
      <w:pPr>
        <w:spacing w:after="0" w:line="240" w:lineRule="auto"/>
      </w:pPr>
      <w:r>
        <w:continuationSeparator/>
      </w:r>
    </w:p>
  </w:footnote>
  <w:footnote w:id="1">
    <w:p w14:paraId="1CB93298" w14:textId="77777777" w:rsidR="003449E5" w:rsidRPr="007358CE" w:rsidRDefault="003449E5" w:rsidP="003449E5">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w:t>
      </w:r>
      <w:r w:rsidRPr="007358CE">
        <w:rPr>
          <w:rFonts w:ascii="Times New Roman" w:hAnsi="Times New Roman" w:cs="Times New Roman"/>
          <w:lang w:val="en-US"/>
        </w:rPr>
        <w:t xml:space="preserve">H. Etzkowitz, </w:t>
      </w:r>
      <w:r w:rsidRPr="007358CE">
        <w:rPr>
          <w:rFonts w:ascii="Times New Roman" w:hAnsi="Times New Roman" w:cs="Times New Roman"/>
          <w:i/>
          <w:lang w:val="en-US"/>
        </w:rPr>
        <w:t>University-Industry-Government: The Triple Helix Model of Innovation</w:t>
      </w:r>
      <w:r w:rsidRPr="007358CE">
        <w:rPr>
          <w:rFonts w:ascii="Times New Roman" w:hAnsi="Times New Roman" w:cs="Times New Roman"/>
          <w:lang w:val="en-US"/>
        </w:rPr>
        <w:t>, Business School Newcastle University 2007, http://www.eoq.org/fileadmin/user_upload/Documents/Congress_proceedings/Prague_2007/Proceedings/007_EOQ_FP_-_Etzkowitz_Henry_-_A1.pdf [dostęp: 10.10.2015].</w:t>
      </w:r>
    </w:p>
  </w:footnote>
  <w:footnote w:id="2">
    <w:p w14:paraId="07D6BDF3" w14:textId="77777777" w:rsidR="003449E5" w:rsidRPr="007358CE" w:rsidRDefault="003449E5" w:rsidP="003449E5">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Potrójna helisa jako modelowa forma współpracy środowiska nauki, biznesu i administracji.</w:t>
      </w:r>
    </w:p>
  </w:footnote>
  <w:footnote w:id="3">
    <w:p w14:paraId="5441C6C1" w14:textId="77777777" w:rsidR="003449E5" w:rsidRPr="007358CE" w:rsidRDefault="003449E5" w:rsidP="003449E5">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Ministerstwo Gospodarki, </w:t>
      </w:r>
      <w:r w:rsidRPr="007358CE">
        <w:rPr>
          <w:rFonts w:ascii="Times New Roman" w:hAnsi="Times New Roman" w:cs="Times New Roman"/>
          <w:i/>
        </w:rPr>
        <w:t>Klastry</w:t>
      </w:r>
      <w:r w:rsidRPr="007358CE">
        <w:rPr>
          <w:rFonts w:ascii="Times New Roman" w:hAnsi="Times New Roman" w:cs="Times New Roman"/>
        </w:rPr>
        <w:t xml:space="preserve">. </w:t>
      </w:r>
      <w:r w:rsidRPr="007358CE">
        <w:rPr>
          <w:rFonts w:ascii="Times New Roman" w:hAnsi="Times New Roman" w:cs="Times New Roman"/>
          <w:i/>
        </w:rPr>
        <w:t>Polityka rozwoju gospodarczego opartego na klastrach</w:t>
      </w:r>
      <w:r w:rsidRPr="007358CE">
        <w:rPr>
          <w:rFonts w:ascii="Times New Roman" w:hAnsi="Times New Roman" w:cs="Times New Roman"/>
        </w:rPr>
        <w:t>, s. 6., http://www.infotech.org.pl/triplehelix.html, [dostęp: 26.04.2016].</w:t>
      </w:r>
    </w:p>
  </w:footnote>
  <w:footnote w:id="4">
    <w:p w14:paraId="7A72ABC8" w14:textId="77777777" w:rsidR="003449E5" w:rsidRPr="007358CE" w:rsidRDefault="003449E5" w:rsidP="003449E5">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A. Olechnicka, A. Płoszaj, </w:t>
      </w:r>
      <w:r w:rsidRPr="007358CE">
        <w:rPr>
          <w:rFonts w:ascii="Times New Roman" w:hAnsi="Times New Roman" w:cs="Times New Roman"/>
          <w:i/>
        </w:rPr>
        <w:t>Sieci współpracy receptą na innowacyjność regionu?</w:t>
      </w:r>
      <w:r w:rsidRPr="007358CE">
        <w:rPr>
          <w:rFonts w:ascii="Times New Roman" w:hAnsi="Times New Roman" w:cs="Times New Roman"/>
        </w:rPr>
        <w:t xml:space="preserve"> [w:] A. Tucholska (red.): </w:t>
      </w:r>
      <w:r w:rsidRPr="007358CE">
        <w:rPr>
          <w:rFonts w:ascii="Times New Roman" w:hAnsi="Times New Roman" w:cs="Times New Roman"/>
          <w:i/>
        </w:rPr>
        <w:t>Europejskie wyzwania dla Polski i jej regionów</w:t>
      </w:r>
      <w:r w:rsidRPr="007358CE">
        <w:rPr>
          <w:rFonts w:ascii="Times New Roman" w:hAnsi="Times New Roman" w:cs="Times New Roman"/>
        </w:rPr>
        <w:t>, Ministerstwo Rozwoju Regionalnego, Warszawa 2010, s. 203.</w:t>
      </w:r>
    </w:p>
  </w:footnote>
  <w:footnote w:id="5">
    <w:p w14:paraId="1C351769" w14:textId="77777777" w:rsidR="003449E5" w:rsidRPr="007358CE" w:rsidRDefault="003449E5" w:rsidP="003449E5">
      <w:pPr>
        <w:pStyle w:val="Tekstprzypisudolnego"/>
        <w:ind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w:t>
      </w:r>
      <w:bookmarkStart w:id="0" w:name="_Hlk12613822"/>
      <w:r w:rsidRPr="007358CE">
        <w:rPr>
          <w:rFonts w:ascii="Times New Roman" w:hAnsi="Times New Roman" w:cs="Times New Roman"/>
        </w:rPr>
        <w:t xml:space="preserve">L. Knop, S. Olko, </w:t>
      </w:r>
      <w:r w:rsidRPr="007358CE">
        <w:rPr>
          <w:rFonts w:ascii="Times New Roman" w:hAnsi="Times New Roman" w:cs="Times New Roman"/>
          <w:i/>
          <w:iCs/>
        </w:rPr>
        <w:t>Ewolucja form organizacyjnych sieci współpracy</w:t>
      </w:r>
      <w:r w:rsidRPr="007358CE">
        <w:rPr>
          <w:rFonts w:ascii="Times New Roman" w:hAnsi="Times New Roman" w:cs="Times New Roman"/>
        </w:rPr>
        <w:t>, „Organizacja i Zarządzanie” 2008 nr (1), s. 102.</w:t>
      </w:r>
      <w:bookmarkEnd w:id="0"/>
    </w:p>
  </w:footnote>
  <w:footnote w:id="6">
    <w:p w14:paraId="32AB1B92" w14:textId="77777777" w:rsidR="003449E5" w:rsidRPr="007358CE" w:rsidRDefault="003449E5" w:rsidP="003449E5">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P. Swianiewicz, W. Dziemianowicz, </w:t>
      </w:r>
      <w:r w:rsidRPr="007358CE">
        <w:rPr>
          <w:rFonts w:ascii="Times New Roman" w:hAnsi="Times New Roman" w:cs="Times New Roman"/>
          <w:i/>
        </w:rPr>
        <w:t>Atrakcyjność inwestycyjna miast: raport z badań</w:t>
      </w:r>
      <w:r w:rsidRPr="007358CE">
        <w:rPr>
          <w:rFonts w:ascii="Times New Roman" w:hAnsi="Times New Roman" w:cs="Times New Roman"/>
        </w:rPr>
        <w:t xml:space="preserve">, „Transformacja Gospodarki” 1998, nr 95; W. Dziemianowicz, </w:t>
      </w:r>
      <w:r w:rsidRPr="007358CE">
        <w:rPr>
          <w:rFonts w:ascii="Times New Roman" w:hAnsi="Times New Roman" w:cs="Times New Roman"/>
          <w:i/>
        </w:rPr>
        <w:t>Ranking atrakcyjności inwestycyjnej miast Polski–refleksje po czterech edycjach badań</w:t>
      </w:r>
      <w:r w:rsidRPr="007358CE">
        <w:rPr>
          <w:rFonts w:ascii="Times New Roman" w:hAnsi="Times New Roman" w:cs="Times New Roman"/>
        </w:rPr>
        <w:t xml:space="preserve">, „Prace i Studia Geograficzne” 2005, nr 35, s. 109-127; W. Lizińska, R. Marks-Bielska, J. Janicka, </w:t>
      </w:r>
      <w:r w:rsidRPr="007358CE">
        <w:rPr>
          <w:rFonts w:ascii="Times New Roman" w:hAnsi="Times New Roman" w:cs="Times New Roman"/>
          <w:i/>
        </w:rPr>
        <w:t>Czynniki atrakcyjności inwestycyjnej w wybranych województwach Polski Wschodniej</w:t>
      </w:r>
      <w:r w:rsidRPr="007358CE">
        <w:rPr>
          <w:rFonts w:ascii="Times New Roman" w:hAnsi="Times New Roman" w:cs="Times New Roman"/>
        </w:rPr>
        <w:t xml:space="preserve">, </w:t>
      </w:r>
      <w:r w:rsidRPr="007358CE">
        <w:rPr>
          <w:rFonts w:ascii="Times New Roman" w:hAnsi="Times New Roman" w:cs="Times New Roman"/>
          <w:spacing w:val="-4"/>
        </w:rPr>
        <w:t>„Prace Naukowe Uniwersytetu Ekonomicznego we Wrocławiu” 2010, nr 111 „Polityka ekonomiczna”, s. 381-391.</w:t>
      </w:r>
    </w:p>
  </w:footnote>
  <w:footnote w:id="7">
    <w:p w14:paraId="2B9ADEB6" w14:textId="5A7336E0" w:rsidR="003449E5" w:rsidRPr="007358CE" w:rsidRDefault="003449E5" w:rsidP="003449E5">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w:t>
      </w:r>
      <w:r w:rsidRPr="007358CE">
        <w:rPr>
          <w:rFonts w:ascii="Times New Roman" w:hAnsi="Times New Roman" w:cs="Times New Roman"/>
          <w:i/>
        </w:rPr>
        <w:t>Przywództwo</w:t>
      </w:r>
      <w:r w:rsidRPr="007358CE">
        <w:rPr>
          <w:rFonts w:ascii="Times New Roman" w:hAnsi="Times New Roman" w:cs="Times New Roman"/>
        </w:rPr>
        <w:t xml:space="preserve">, </w:t>
      </w:r>
      <w:r w:rsidRPr="007358CE">
        <w:rPr>
          <w:rFonts w:ascii="Times New Roman" w:hAnsi="Times New Roman" w:cs="Times New Roman"/>
          <w:i/>
        </w:rPr>
        <w:t>styl zarządzania</w:t>
      </w:r>
      <w:r w:rsidRPr="007358CE">
        <w:rPr>
          <w:rFonts w:ascii="Times New Roman" w:hAnsi="Times New Roman" w:cs="Times New Roman"/>
        </w:rPr>
        <w:t xml:space="preserve">, </w:t>
      </w:r>
      <w:r w:rsidRPr="007358CE">
        <w:rPr>
          <w:rFonts w:ascii="Times New Roman" w:hAnsi="Times New Roman" w:cs="Times New Roman"/>
          <w:i/>
        </w:rPr>
        <w:t>kompetencje</w:t>
      </w:r>
      <w:r w:rsidRPr="007358CE">
        <w:rPr>
          <w:rFonts w:ascii="Times New Roman" w:hAnsi="Times New Roman" w:cs="Times New Roman"/>
        </w:rPr>
        <w:t xml:space="preserve">, </w:t>
      </w:r>
      <w:r w:rsidRPr="007358CE">
        <w:rPr>
          <w:rFonts w:ascii="Times New Roman" w:hAnsi="Times New Roman" w:cs="Times New Roman"/>
          <w:i/>
        </w:rPr>
        <w:t>technologie</w:t>
      </w:r>
      <w:r w:rsidRPr="007358CE">
        <w:rPr>
          <w:rFonts w:ascii="Times New Roman" w:hAnsi="Times New Roman" w:cs="Times New Roman"/>
        </w:rPr>
        <w:t xml:space="preserve"> – obszary, które odnoszą się do warunków charakteryzujących współpracę. Obszary te są składową Karty oceny gotowości do współpracy będącej częścią kwestionariusza ankiety. </w:t>
      </w:r>
      <w:r w:rsidR="00D36E9B" w:rsidRPr="007358CE">
        <w:rPr>
          <w:rFonts w:ascii="Times New Roman" w:hAnsi="Times New Roman" w:cs="Times New Roman"/>
        </w:rPr>
        <w:t>Autorka</w:t>
      </w:r>
      <w:r w:rsidRPr="007358CE">
        <w:rPr>
          <w:rFonts w:ascii="Times New Roman" w:hAnsi="Times New Roman" w:cs="Times New Roman"/>
        </w:rPr>
        <w:t xml:space="preserve"> odwołuje się do metodyki Net Readiness autorstwa A. Hartmana, J. Sifonisa oraz J.  Kadora. W metodyce zostały określone cztery elementy: </w:t>
      </w:r>
      <w:r w:rsidRPr="007358CE">
        <w:rPr>
          <w:rFonts w:ascii="Times New Roman" w:hAnsi="Times New Roman" w:cs="Times New Roman"/>
          <w:i/>
        </w:rPr>
        <w:t>przywództwo</w:t>
      </w:r>
      <w:r w:rsidRPr="007358CE">
        <w:rPr>
          <w:rFonts w:ascii="Times New Roman" w:hAnsi="Times New Roman" w:cs="Times New Roman"/>
        </w:rPr>
        <w:t xml:space="preserve">, </w:t>
      </w:r>
      <w:r w:rsidRPr="007358CE">
        <w:rPr>
          <w:rFonts w:ascii="Times New Roman" w:hAnsi="Times New Roman" w:cs="Times New Roman"/>
          <w:i/>
        </w:rPr>
        <w:t>styl zarządzania</w:t>
      </w:r>
      <w:r w:rsidRPr="007358CE">
        <w:rPr>
          <w:rFonts w:ascii="Times New Roman" w:hAnsi="Times New Roman" w:cs="Times New Roman"/>
        </w:rPr>
        <w:t xml:space="preserve">, </w:t>
      </w:r>
      <w:r w:rsidRPr="007358CE">
        <w:rPr>
          <w:rFonts w:ascii="Times New Roman" w:hAnsi="Times New Roman" w:cs="Times New Roman"/>
          <w:i/>
        </w:rPr>
        <w:t>kompetencje</w:t>
      </w:r>
      <w:r w:rsidRPr="007358CE">
        <w:rPr>
          <w:rFonts w:ascii="Times New Roman" w:hAnsi="Times New Roman" w:cs="Times New Roman"/>
        </w:rPr>
        <w:t xml:space="preserve"> i </w:t>
      </w:r>
      <w:r w:rsidRPr="007358CE">
        <w:rPr>
          <w:rFonts w:ascii="Times New Roman" w:hAnsi="Times New Roman" w:cs="Times New Roman"/>
          <w:i/>
        </w:rPr>
        <w:t>technologie</w:t>
      </w:r>
      <w:r w:rsidRPr="007358CE">
        <w:rPr>
          <w:rFonts w:ascii="Times New Roman" w:hAnsi="Times New Roman" w:cs="Times New Roman"/>
        </w:rPr>
        <w:t xml:space="preserve"> decydujące o zdolności przedsiębiorstw do efektywnego działania w e-biznesie i realizowania projektów mających bardzo duży wpływ na kształt organizacji. Zob. A. Hartman, J. Sifonis, J. Kador, E-biznes. </w:t>
      </w:r>
      <w:r w:rsidRPr="007358CE">
        <w:rPr>
          <w:rFonts w:ascii="Times New Roman" w:hAnsi="Times New Roman" w:cs="Times New Roman"/>
          <w:i/>
        </w:rPr>
        <w:t>Strategie sukcesu w gospodarce internetowej</w:t>
      </w:r>
      <w:r w:rsidRPr="007358CE">
        <w:rPr>
          <w:rFonts w:ascii="Times New Roman" w:hAnsi="Times New Roman" w:cs="Times New Roman"/>
        </w:rPr>
        <w:t xml:space="preserve">, Wyd. K.E. Lider, Warszawa 2001, s. 2-39, s. 347-351. Przy analizie danych wykorzystano średnie arytmetyczne dla każdej z grup podmiotów w danym kryteriów. Dla każdego z 4 obszarów: </w:t>
      </w:r>
      <w:r w:rsidRPr="007358CE">
        <w:rPr>
          <w:rFonts w:ascii="Times New Roman" w:hAnsi="Times New Roman" w:cs="Times New Roman"/>
          <w:i/>
        </w:rPr>
        <w:t>przywództwo, styl zarządzania, kompetencje, technologie</w:t>
      </w:r>
      <w:r w:rsidRPr="007358CE">
        <w:rPr>
          <w:rFonts w:ascii="Times New Roman" w:hAnsi="Times New Roman" w:cs="Times New Roman"/>
        </w:rPr>
        <w:t xml:space="preserve">, np. dla przywództwa respondenci oceniali 5 czynników decydujących o gotowości do współpracy, czyli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śr</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5</m:t>
                </m:r>
              </m:sup>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e>
            </m:nary>
          </m:num>
          <m:den>
            <m:r>
              <w:rPr>
                <w:rFonts w:ascii="Cambria Math" w:eastAsiaTheme="minorEastAsia" w:hAnsi="Cambria Math" w:cs="Times New Roman"/>
              </w:rPr>
              <m:t>5</m:t>
            </m:r>
          </m:den>
        </m:f>
      </m:oMath>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F836" w14:textId="4F759D30" w:rsidR="003449E5" w:rsidRPr="003449E5" w:rsidRDefault="003449E5" w:rsidP="003449E5">
    <w:pPr>
      <w:pStyle w:val="Nagwek"/>
      <w:jc w:val="center"/>
      <w:rPr>
        <w:b/>
        <w:bCs/>
      </w:rPr>
    </w:pPr>
    <w:r w:rsidRPr="003449E5">
      <w:rPr>
        <w:b/>
        <w:bCs/>
      </w:rPr>
      <w:t>WYKŁAD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D04F2"/>
    <w:multiLevelType w:val="hybridMultilevel"/>
    <w:tmpl w:val="65783552"/>
    <w:lvl w:ilvl="0" w:tplc="77AEE6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E5"/>
    <w:rsid w:val="002C239F"/>
    <w:rsid w:val="002D3BD8"/>
    <w:rsid w:val="003449E5"/>
    <w:rsid w:val="003F3D4A"/>
    <w:rsid w:val="006208B7"/>
    <w:rsid w:val="006559DD"/>
    <w:rsid w:val="00804AF0"/>
    <w:rsid w:val="00893EC4"/>
    <w:rsid w:val="00931FAF"/>
    <w:rsid w:val="00D3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0657"/>
  <w15:chartTrackingRefBased/>
  <w15:docId w15:val="{7CD708B6-4763-4192-A6E4-6F20BDC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9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3449E5"/>
    <w:rPr>
      <w:vertAlign w:val="superscript"/>
    </w:rPr>
  </w:style>
  <w:style w:type="paragraph" w:styleId="Tekstprzypisudolnego">
    <w:name w:val="footnote text"/>
    <w:basedOn w:val="Normalny"/>
    <w:link w:val="TekstprzypisudolnegoZnak1"/>
    <w:uiPriority w:val="99"/>
    <w:unhideWhenUsed/>
    <w:rsid w:val="003449E5"/>
    <w:pPr>
      <w:spacing w:after="0" w:line="240" w:lineRule="auto"/>
    </w:pPr>
    <w:rPr>
      <w:sz w:val="20"/>
      <w:szCs w:val="20"/>
    </w:rPr>
  </w:style>
  <w:style w:type="character" w:customStyle="1" w:styleId="TekstprzypisudolnegoZnak">
    <w:name w:val="Tekst przypisu dolnego Znak"/>
    <w:basedOn w:val="Domylnaczcionkaakapitu"/>
    <w:uiPriority w:val="99"/>
    <w:semiHidden/>
    <w:rsid w:val="003449E5"/>
    <w:rPr>
      <w:sz w:val="20"/>
      <w:szCs w:val="20"/>
    </w:rPr>
  </w:style>
  <w:style w:type="character" w:customStyle="1" w:styleId="TekstprzypisudolnegoZnak1">
    <w:name w:val="Tekst przypisu dolnego Znak1"/>
    <w:basedOn w:val="Domylnaczcionkaakapitu"/>
    <w:link w:val="Tekstprzypisudolnego"/>
    <w:uiPriority w:val="99"/>
    <w:rsid w:val="003449E5"/>
    <w:rPr>
      <w:sz w:val="20"/>
      <w:szCs w:val="20"/>
    </w:rPr>
  </w:style>
  <w:style w:type="paragraph" w:customStyle="1" w:styleId="Pracadoktorska-tekstgwny">
    <w:name w:val="Praca doktorska - tekst główny"/>
    <w:basedOn w:val="Normalny"/>
    <w:link w:val="Pracadoktorska-tekstgwnyZnak"/>
    <w:qFormat/>
    <w:rsid w:val="003449E5"/>
    <w:pPr>
      <w:spacing w:after="0" w:line="360" w:lineRule="auto"/>
      <w:jc w:val="both"/>
    </w:pPr>
    <w:rPr>
      <w:rFonts w:ascii="Times New Roman" w:hAnsi="Times New Roman" w:cs="Times New Roman"/>
      <w:sz w:val="24"/>
    </w:rPr>
  </w:style>
  <w:style w:type="character" w:customStyle="1" w:styleId="Pracadoktorska-tekstgwnyZnak">
    <w:name w:val="Praca doktorska - tekst główny Znak"/>
    <w:basedOn w:val="Domylnaczcionkaakapitu"/>
    <w:link w:val="Pracadoktorska-tekstgwny"/>
    <w:rsid w:val="003449E5"/>
    <w:rPr>
      <w:rFonts w:ascii="Times New Roman" w:hAnsi="Times New Roman" w:cs="Times New Roman"/>
      <w:sz w:val="24"/>
    </w:rPr>
  </w:style>
  <w:style w:type="paragraph" w:styleId="Akapitzlist">
    <w:name w:val="List Paragraph"/>
    <w:basedOn w:val="Normalny"/>
    <w:uiPriority w:val="34"/>
    <w:qFormat/>
    <w:rsid w:val="003449E5"/>
    <w:pPr>
      <w:ind w:left="720"/>
      <w:contextualSpacing/>
    </w:pPr>
  </w:style>
  <w:style w:type="paragraph" w:styleId="Nagwek">
    <w:name w:val="header"/>
    <w:basedOn w:val="Normalny"/>
    <w:link w:val="NagwekZnak"/>
    <w:uiPriority w:val="99"/>
    <w:unhideWhenUsed/>
    <w:rsid w:val="0034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9E5"/>
  </w:style>
  <w:style w:type="paragraph" w:styleId="Stopka">
    <w:name w:val="footer"/>
    <w:basedOn w:val="Normalny"/>
    <w:link w:val="StopkaZnak"/>
    <w:uiPriority w:val="99"/>
    <w:unhideWhenUsed/>
    <w:rsid w:val="0034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1173</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Bednarzewska</dc:creator>
  <cp:keywords/>
  <dc:description/>
  <cp:lastModifiedBy>Kinga Bednarzewska</cp:lastModifiedBy>
  <cp:revision>3</cp:revision>
  <cp:lastPrinted>2020-10-01T10:39:00Z</cp:lastPrinted>
  <dcterms:created xsi:type="dcterms:W3CDTF">2021-01-14T09:46:00Z</dcterms:created>
  <dcterms:modified xsi:type="dcterms:W3CDTF">2021-01-14T09:54:00Z</dcterms:modified>
</cp:coreProperties>
</file>