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C3E" w:rsidRPr="007D104C" w:rsidRDefault="007D104C">
      <w:pPr>
        <w:rPr>
          <w:lang w:val="en-US"/>
        </w:rPr>
      </w:pPr>
      <w:r w:rsidRPr="007D104C">
        <w:rPr>
          <w:lang w:val="en-US"/>
        </w:rPr>
        <w:t xml:space="preserve">Center for Oral and Public History </w:t>
      </w:r>
      <w:r>
        <w:rPr>
          <w:lang w:val="en-US"/>
        </w:rPr>
        <w:t xml:space="preserve">/ The Lawrence de </w:t>
      </w:r>
      <w:proofErr w:type="spellStart"/>
      <w:r>
        <w:rPr>
          <w:lang w:val="en-US"/>
        </w:rPr>
        <w:t>Graaf</w:t>
      </w:r>
      <w:proofErr w:type="spellEnd"/>
      <w:r>
        <w:rPr>
          <w:lang w:val="en-US"/>
        </w:rPr>
        <w:t xml:space="preserve"> </w:t>
      </w:r>
    </w:p>
    <w:p w:rsidR="007D104C" w:rsidRDefault="007D104C">
      <w:hyperlink r:id="rId5" w:history="1">
        <w:r w:rsidRPr="008027F0">
          <w:rPr>
            <w:rStyle w:val="Hipercze"/>
          </w:rPr>
          <w:t>http://coph.fullerton.edu/</w:t>
        </w:r>
      </w:hyperlink>
      <w:r>
        <w:t xml:space="preserve"> </w:t>
      </w:r>
    </w:p>
    <w:p w:rsidR="007D104C" w:rsidRPr="007D104C" w:rsidRDefault="007D104C" w:rsidP="007D104C">
      <w:pPr>
        <w:shd w:val="clear" w:color="auto" w:fill="FFFFFF"/>
        <w:spacing w:after="0" w:line="240" w:lineRule="auto"/>
        <w:rPr>
          <w:rFonts w:ascii="inherit" w:eastAsia="Times New Roman" w:hAnsi="inherit" w:cs="Helvetica"/>
          <w:color w:val="1D2129"/>
          <w:sz w:val="18"/>
          <w:szCs w:val="18"/>
          <w:lang w:val="en-US" w:eastAsia="pl-PL"/>
        </w:rPr>
      </w:pPr>
      <w:r>
        <w:rPr>
          <w:rFonts w:ascii="inherit" w:eastAsia="Times New Roman" w:hAnsi="inherit" w:cs="Helvetica"/>
          <w:color w:val="1D2129"/>
          <w:sz w:val="18"/>
          <w:szCs w:val="18"/>
          <w:lang w:val="en-US" w:eastAsia="pl-PL"/>
        </w:rPr>
        <w:t>T</w:t>
      </w:r>
      <w:r w:rsidRPr="007D104C">
        <w:rPr>
          <w:rFonts w:ascii="inherit" w:eastAsia="Times New Roman" w:hAnsi="inherit" w:cs="Helvetica"/>
          <w:color w:val="1D2129"/>
          <w:sz w:val="18"/>
          <w:szCs w:val="18"/>
          <w:lang w:val="en-US" w:eastAsia="pl-PL"/>
        </w:rPr>
        <w:t>he Center for Oral and Public History (COPH) - a component of the Department of History and the College of Humanities and Social Sciences at California State University, Fullerton - embraces a two-fold mission. First, COPH collects and preserves the stories of distinctive individuals and diverse communities whose historical experiences have shaped the collective memory of Southern California, defined national and transnational identities, and reflected life in an era of globalization. Second, COPH undertakes and provides support services for public history projects, particularly those designed to share oral histories with students, scholars, and public audiences in Southern California and beyond. Ultimately, COPH seeks to combine the strengths of oral history and public history in order to build better connections between Cal State Fullerton and the communities - local, national, and global - to which it is tied.</w:t>
      </w:r>
    </w:p>
    <w:p w:rsidR="007D104C" w:rsidRDefault="007D104C">
      <w:pPr>
        <w:rPr>
          <w:lang w:val="en-US"/>
        </w:rPr>
      </w:pPr>
    </w:p>
    <w:p w:rsidR="007D104C" w:rsidRPr="007D104C" w:rsidRDefault="007D104C" w:rsidP="007D104C">
      <w:pPr>
        <w:spacing w:after="0" w:line="270" w:lineRule="atLeast"/>
        <w:rPr>
          <w:rFonts w:ascii="inherit" w:eastAsia="Times New Roman" w:hAnsi="inherit" w:cs="Helvetica"/>
          <w:color w:val="1D2129"/>
          <w:sz w:val="21"/>
          <w:szCs w:val="21"/>
          <w:lang w:val="en-US" w:eastAsia="pl-PL"/>
        </w:rPr>
      </w:pPr>
      <w:r w:rsidRPr="007D104C">
        <w:rPr>
          <w:rFonts w:ascii="inherit" w:eastAsia="Times New Roman" w:hAnsi="inherit" w:cs="Helvetica"/>
          <w:color w:val="1D2129"/>
          <w:sz w:val="21"/>
          <w:szCs w:val="21"/>
          <w:lang w:val="en-US" w:eastAsia="pl-PL"/>
        </w:rPr>
        <w:t>About</w:t>
      </w:r>
    </w:p>
    <w:p w:rsidR="007D104C" w:rsidRPr="007D104C" w:rsidRDefault="007D104C" w:rsidP="007D104C">
      <w:pPr>
        <w:spacing w:after="180" w:line="240" w:lineRule="auto"/>
        <w:rPr>
          <w:rFonts w:ascii="inherit" w:eastAsia="Times New Roman" w:hAnsi="inherit" w:cs="Helvetica"/>
          <w:color w:val="1D2129"/>
          <w:sz w:val="18"/>
          <w:szCs w:val="18"/>
          <w:lang w:eastAsia="pl-PL"/>
        </w:rPr>
      </w:pPr>
      <w:r w:rsidRPr="007D104C">
        <w:rPr>
          <w:rFonts w:ascii="inherit" w:eastAsia="Times New Roman" w:hAnsi="inherit" w:cs="Helvetica"/>
          <w:color w:val="1D2129"/>
          <w:sz w:val="18"/>
          <w:szCs w:val="18"/>
          <w:lang w:val="en-US" w:eastAsia="pl-PL"/>
        </w:rPr>
        <w:t xml:space="preserve">Established in 1968, the Center for Oral and Public History is primarily a teaching, training, research, publication, and public service operation located at CSU Fullerton. </w:t>
      </w:r>
      <w:proofErr w:type="spellStart"/>
      <w:r w:rsidRPr="007D104C">
        <w:rPr>
          <w:rFonts w:ascii="inherit" w:eastAsia="Times New Roman" w:hAnsi="inherit" w:cs="Helvetica"/>
          <w:color w:val="1D2129"/>
          <w:sz w:val="18"/>
          <w:szCs w:val="18"/>
          <w:lang w:eastAsia="pl-PL"/>
        </w:rPr>
        <w:t>Its</w:t>
      </w:r>
      <w:proofErr w:type="spellEnd"/>
      <w:r w:rsidRPr="007D104C">
        <w:rPr>
          <w:rFonts w:ascii="inherit" w:eastAsia="Times New Roman" w:hAnsi="inherit" w:cs="Helvetica"/>
          <w:color w:val="1D2129"/>
          <w:sz w:val="18"/>
          <w:szCs w:val="18"/>
          <w:lang w:eastAsia="pl-PL"/>
        </w:rPr>
        <w:t xml:space="preserve"> </w:t>
      </w:r>
      <w:proofErr w:type="spellStart"/>
      <w:r w:rsidRPr="007D104C">
        <w:rPr>
          <w:rFonts w:ascii="inherit" w:eastAsia="Times New Roman" w:hAnsi="inherit" w:cs="Helvetica"/>
          <w:color w:val="1D2129"/>
          <w:sz w:val="18"/>
          <w:szCs w:val="18"/>
          <w:lang w:eastAsia="pl-PL"/>
        </w:rPr>
        <w:t>archives</w:t>
      </w:r>
      <w:proofErr w:type="spellEnd"/>
      <w:r w:rsidRPr="007D104C">
        <w:rPr>
          <w:rFonts w:ascii="inherit" w:eastAsia="Times New Roman" w:hAnsi="inherit" w:cs="Helvetica"/>
          <w:color w:val="1D2129"/>
          <w:sz w:val="18"/>
          <w:szCs w:val="18"/>
          <w:lang w:eastAsia="pl-PL"/>
        </w:rPr>
        <w:t xml:space="preserve"> </w:t>
      </w:r>
      <w:proofErr w:type="spellStart"/>
      <w:r w:rsidRPr="007D104C">
        <w:rPr>
          <w:rFonts w:ascii="inherit" w:eastAsia="Times New Roman" w:hAnsi="inherit" w:cs="Helvetica"/>
          <w:color w:val="1D2129"/>
          <w:sz w:val="18"/>
          <w:szCs w:val="18"/>
          <w:lang w:eastAsia="pl-PL"/>
        </w:rPr>
        <w:t>hold</w:t>
      </w:r>
      <w:proofErr w:type="spellEnd"/>
      <w:r w:rsidRPr="007D104C">
        <w:rPr>
          <w:rFonts w:ascii="inherit" w:eastAsia="Times New Roman" w:hAnsi="inherit" w:cs="Helvetica"/>
          <w:color w:val="1D2129"/>
          <w:sz w:val="18"/>
          <w:szCs w:val="18"/>
          <w:lang w:eastAsia="pl-PL"/>
        </w:rPr>
        <w:t xml:space="preserve"> </w:t>
      </w:r>
      <w:proofErr w:type="spellStart"/>
      <w:r w:rsidRPr="007D104C">
        <w:rPr>
          <w:rFonts w:ascii="inherit" w:eastAsia="Times New Roman" w:hAnsi="inherit" w:cs="Helvetica"/>
          <w:color w:val="1D2129"/>
          <w:sz w:val="18"/>
          <w:szCs w:val="18"/>
          <w:lang w:eastAsia="pl-PL"/>
        </w:rPr>
        <w:t>over</w:t>
      </w:r>
      <w:proofErr w:type="spellEnd"/>
      <w:r w:rsidRPr="007D104C">
        <w:rPr>
          <w:rFonts w:ascii="inherit" w:eastAsia="Times New Roman" w:hAnsi="inherit" w:cs="Helvetica"/>
          <w:color w:val="1D2129"/>
          <w:sz w:val="18"/>
          <w:szCs w:val="18"/>
          <w:lang w:eastAsia="pl-PL"/>
        </w:rPr>
        <w:t xml:space="preserve"> 5,500 </w:t>
      </w:r>
      <w:proofErr w:type="spellStart"/>
      <w:r w:rsidRPr="007D104C">
        <w:rPr>
          <w:rFonts w:ascii="inherit" w:eastAsia="Times New Roman" w:hAnsi="inherit" w:cs="Helvetica"/>
          <w:color w:val="1D2129"/>
          <w:sz w:val="18"/>
          <w:szCs w:val="18"/>
          <w:lang w:eastAsia="pl-PL"/>
        </w:rPr>
        <w:t>oral</w:t>
      </w:r>
      <w:proofErr w:type="spellEnd"/>
      <w:r w:rsidRPr="007D104C">
        <w:rPr>
          <w:rFonts w:ascii="inherit" w:eastAsia="Times New Roman" w:hAnsi="inherit" w:cs="Helvetica"/>
          <w:color w:val="1D2129"/>
          <w:sz w:val="18"/>
          <w:szCs w:val="18"/>
          <w:lang w:eastAsia="pl-PL"/>
        </w:rPr>
        <w:t xml:space="preserve"> </w:t>
      </w:r>
      <w:proofErr w:type="spellStart"/>
      <w:r w:rsidRPr="007D104C">
        <w:rPr>
          <w:rFonts w:ascii="inherit" w:eastAsia="Times New Roman" w:hAnsi="inherit" w:cs="Helvetica"/>
          <w:color w:val="1D2129"/>
          <w:sz w:val="18"/>
          <w:szCs w:val="18"/>
          <w:lang w:eastAsia="pl-PL"/>
        </w:rPr>
        <w:t>histories</w:t>
      </w:r>
      <w:proofErr w:type="spellEnd"/>
      <w:r w:rsidRPr="007D104C">
        <w:rPr>
          <w:rFonts w:ascii="inherit" w:eastAsia="Times New Roman" w:hAnsi="inherit" w:cs="Helvetica"/>
          <w:color w:val="1D2129"/>
          <w:sz w:val="18"/>
          <w:szCs w:val="18"/>
          <w:lang w:eastAsia="pl-PL"/>
        </w:rPr>
        <w:t>.</w:t>
      </w:r>
      <w:bookmarkStart w:id="0" w:name="_GoBack"/>
      <w:bookmarkEnd w:id="0"/>
    </w:p>
    <w:p w:rsidR="007D104C" w:rsidRPr="007D104C" w:rsidRDefault="007D104C" w:rsidP="007D104C">
      <w:pPr>
        <w:spacing w:after="0" w:line="270" w:lineRule="atLeast"/>
        <w:rPr>
          <w:rFonts w:ascii="inherit" w:eastAsia="Times New Roman" w:hAnsi="inherit" w:cs="Helvetica"/>
          <w:color w:val="1D2129"/>
          <w:sz w:val="21"/>
          <w:szCs w:val="21"/>
          <w:lang w:val="en-US" w:eastAsia="pl-PL"/>
        </w:rPr>
      </w:pPr>
      <w:r w:rsidRPr="007D104C">
        <w:rPr>
          <w:rFonts w:ascii="inherit" w:eastAsia="Times New Roman" w:hAnsi="inherit" w:cs="Helvetica"/>
          <w:color w:val="1D2129"/>
          <w:sz w:val="21"/>
          <w:szCs w:val="21"/>
          <w:lang w:val="en-US" w:eastAsia="pl-PL"/>
        </w:rPr>
        <w:t>Products</w:t>
      </w:r>
    </w:p>
    <w:p w:rsidR="007D104C" w:rsidRPr="007D104C" w:rsidRDefault="007D104C" w:rsidP="007D104C">
      <w:pPr>
        <w:spacing w:after="180" w:line="240" w:lineRule="auto"/>
        <w:rPr>
          <w:rFonts w:ascii="inherit" w:eastAsia="Times New Roman" w:hAnsi="inherit" w:cs="Helvetica"/>
          <w:color w:val="1D2129"/>
          <w:sz w:val="18"/>
          <w:szCs w:val="18"/>
          <w:lang w:val="en-US" w:eastAsia="pl-PL"/>
        </w:rPr>
      </w:pPr>
      <w:r w:rsidRPr="007D104C">
        <w:rPr>
          <w:rFonts w:ascii="inherit" w:eastAsia="Times New Roman" w:hAnsi="inherit" w:cs="Helvetica"/>
          <w:color w:val="1D2129"/>
          <w:sz w:val="18"/>
          <w:szCs w:val="18"/>
          <w:lang w:val="en-US" w:eastAsia="pl-PL"/>
        </w:rPr>
        <w:t>oral history workshops, consultant services, community-based oral and public history projects.</w:t>
      </w:r>
    </w:p>
    <w:p w:rsidR="007D104C" w:rsidRPr="007D104C" w:rsidRDefault="007D104C">
      <w:pPr>
        <w:rPr>
          <w:lang w:val="en-US"/>
        </w:rPr>
      </w:pPr>
    </w:p>
    <w:sectPr w:rsidR="007D104C" w:rsidRPr="007D10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4C"/>
    <w:rsid w:val="006B3C3E"/>
    <w:rsid w:val="007D1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D104C"/>
    <w:rPr>
      <w:color w:val="0000FF" w:themeColor="hyperlink"/>
      <w:u w:val="single"/>
    </w:rPr>
  </w:style>
  <w:style w:type="character" w:customStyle="1" w:styleId="textexposedshow">
    <w:name w:val="text_exposed_show"/>
    <w:basedOn w:val="Domylnaczcionkaakapitu"/>
    <w:rsid w:val="007D104C"/>
  </w:style>
  <w:style w:type="paragraph" w:styleId="Tekstdymka">
    <w:name w:val="Balloon Text"/>
    <w:basedOn w:val="Normalny"/>
    <w:link w:val="TekstdymkaZnak"/>
    <w:uiPriority w:val="99"/>
    <w:semiHidden/>
    <w:unhideWhenUsed/>
    <w:rsid w:val="007D10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1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D104C"/>
    <w:rPr>
      <w:color w:val="0000FF" w:themeColor="hyperlink"/>
      <w:u w:val="single"/>
    </w:rPr>
  </w:style>
  <w:style w:type="character" w:customStyle="1" w:styleId="textexposedshow">
    <w:name w:val="text_exposed_show"/>
    <w:basedOn w:val="Domylnaczcionkaakapitu"/>
    <w:rsid w:val="007D104C"/>
  </w:style>
  <w:style w:type="paragraph" w:styleId="Tekstdymka">
    <w:name w:val="Balloon Text"/>
    <w:basedOn w:val="Normalny"/>
    <w:link w:val="TekstdymkaZnak"/>
    <w:uiPriority w:val="99"/>
    <w:semiHidden/>
    <w:unhideWhenUsed/>
    <w:rsid w:val="007D10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1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22264">
      <w:bodyDiv w:val="1"/>
      <w:marLeft w:val="0"/>
      <w:marRight w:val="0"/>
      <w:marTop w:val="0"/>
      <w:marBottom w:val="0"/>
      <w:divBdr>
        <w:top w:val="none" w:sz="0" w:space="0" w:color="auto"/>
        <w:left w:val="none" w:sz="0" w:space="0" w:color="auto"/>
        <w:bottom w:val="none" w:sz="0" w:space="0" w:color="auto"/>
        <w:right w:val="none" w:sz="0" w:space="0" w:color="auto"/>
      </w:divBdr>
      <w:divsChild>
        <w:div w:id="1340162346">
          <w:marLeft w:val="180"/>
          <w:marRight w:val="180"/>
          <w:marTop w:val="180"/>
          <w:marBottom w:val="180"/>
          <w:divBdr>
            <w:top w:val="none" w:sz="0" w:space="0" w:color="auto"/>
            <w:left w:val="none" w:sz="0" w:space="0" w:color="auto"/>
            <w:bottom w:val="none" w:sz="0" w:space="0" w:color="auto"/>
            <w:right w:val="none" w:sz="0" w:space="0" w:color="auto"/>
          </w:divBdr>
          <w:divsChild>
            <w:div w:id="1870795743">
              <w:marLeft w:val="0"/>
              <w:marRight w:val="0"/>
              <w:marTop w:val="0"/>
              <w:marBottom w:val="0"/>
              <w:divBdr>
                <w:top w:val="none" w:sz="0" w:space="0" w:color="auto"/>
                <w:left w:val="none" w:sz="0" w:space="0" w:color="auto"/>
                <w:bottom w:val="none" w:sz="0" w:space="0" w:color="auto"/>
                <w:right w:val="none" w:sz="0" w:space="0" w:color="auto"/>
              </w:divBdr>
              <w:divsChild>
                <w:div w:id="1824009357">
                  <w:marLeft w:val="0"/>
                  <w:marRight w:val="0"/>
                  <w:marTop w:val="0"/>
                  <w:marBottom w:val="0"/>
                  <w:divBdr>
                    <w:top w:val="none" w:sz="0" w:space="0" w:color="auto"/>
                    <w:left w:val="none" w:sz="0" w:space="0" w:color="auto"/>
                    <w:bottom w:val="none" w:sz="0" w:space="0" w:color="auto"/>
                    <w:right w:val="none" w:sz="0" w:space="0" w:color="auto"/>
                  </w:divBdr>
                </w:div>
                <w:div w:id="9718600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97407284">
          <w:marLeft w:val="180"/>
          <w:marRight w:val="180"/>
          <w:marTop w:val="180"/>
          <w:marBottom w:val="180"/>
          <w:divBdr>
            <w:top w:val="none" w:sz="0" w:space="0" w:color="auto"/>
            <w:left w:val="none" w:sz="0" w:space="0" w:color="auto"/>
            <w:bottom w:val="none" w:sz="0" w:space="0" w:color="auto"/>
            <w:right w:val="none" w:sz="0" w:space="0" w:color="auto"/>
          </w:divBdr>
          <w:divsChild>
            <w:div w:id="2108037290">
              <w:marLeft w:val="0"/>
              <w:marRight w:val="120"/>
              <w:marTop w:val="15"/>
              <w:marBottom w:val="0"/>
              <w:divBdr>
                <w:top w:val="none" w:sz="0" w:space="0" w:color="auto"/>
                <w:left w:val="none" w:sz="0" w:space="0" w:color="auto"/>
                <w:bottom w:val="none" w:sz="0" w:space="0" w:color="auto"/>
                <w:right w:val="none" w:sz="0" w:space="0" w:color="auto"/>
              </w:divBdr>
            </w:div>
            <w:div w:id="868252592">
              <w:marLeft w:val="0"/>
              <w:marRight w:val="0"/>
              <w:marTop w:val="0"/>
              <w:marBottom w:val="0"/>
              <w:divBdr>
                <w:top w:val="none" w:sz="0" w:space="0" w:color="auto"/>
                <w:left w:val="none" w:sz="0" w:space="0" w:color="auto"/>
                <w:bottom w:val="none" w:sz="0" w:space="0" w:color="auto"/>
                <w:right w:val="none" w:sz="0" w:space="0" w:color="auto"/>
              </w:divBdr>
              <w:divsChild>
                <w:div w:id="1273590703">
                  <w:marLeft w:val="0"/>
                  <w:marRight w:val="0"/>
                  <w:marTop w:val="0"/>
                  <w:marBottom w:val="0"/>
                  <w:divBdr>
                    <w:top w:val="none" w:sz="0" w:space="0" w:color="auto"/>
                    <w:left w:val="none" w:sz="0" w:space="0" w:color="auto"/>
                    <w:bottom w:val="none" w:sz="0" w:space="0" w:color="auto"/>
                    <w:right w:val="none" w:sz="0" w:space="0" w:color="auto"/>
                  </w:divBdr>
                </w:div>
                <w:div w:id="4491306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15664577">
      <w:bodyDiv w:val="1"/>
      <w:marLeft w:val="0"/>
      <w:marRight w:val="0"/>
      <w:marTop w:val="0"/>
      <w:marBottom w:val="0"/>
      <w:divBdr>
        <w:top w:val="none" w:sz="0" w:space="0" w:color="auto"/>
        <w:left w:val="none" w:sz="0" w:space="0" w:color="auto"/>
        <w:bottom w:val="none" w:sz="0" w:space="0" w:color="auto"/>
        <w:right w:val="none" w:sz="0" w:space="0" w:color="auto"/>
      </w:divBdr>
      <w:divsChild>
        <w:div w:id="600797959">
          <w:marLeft w:val="0"/>
          <w:marRight w:val="0"/>
          <w:marTop w:val="0"/>
          <w:marBottom w:val="0"/>
          <w:divBdr>
            <w:top w:val="none" w:sz="0" w:space="0" w:color="auto"/>
            <w:left w:val="none" w:sz="0" w:space="0" w:color="auto"/>
            <w:bottom w:val="none" w:sz="0" w:space="0" w:color="auto"/>
            <w:right w:val="none" w:sz="0" w:space="0" w:color="auto"/>
          </w:divBdr>
          <w:divsChild>
            <w:div w:id="1025591926">
              <w:marLeft w:val="0"/>
              <w:marRight w:val="0"/>
              <w:marTop w:val="60"/>
              <w:marBottom w:val="0"/>
              <w:divBdr>
                <w:top w:val="none" w:sz="0" w:space="0" w:color="auto"/>
                <w:left w:val="none" w:sz="0" w:space="0" w:color="auto"/>
                <w:bottom w:val="none" w:sz="0" w:space="0" w:color="auto"/>
                <w:right w:val="none" w:sz="0" w:space="0" w:color="auto"/>
              </w:divBdr>
              <w:divsChild>
                <w:div w:id="17615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ph.fullerton.ed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1191</Characters>
  <Application>Microsoft Office Word</Application>
  <DocSecurity>0</DocSecurity>
  <Lines>9</Lines>
  <Paragraphs>2</Paragraphs>
  <ScaleCrop>false</ScaleCrop>
  <Company>HP</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1</cp:revision>
  <dcterms:created xsi:type="dcterms:W3CDTF">2017-12-14T15:11:00Z</dcterms:created>
  <dcterms:modified xsi:type="dcterms:W3CDTF">2017-12-14T15:14:00Z</dcterms:modified>
</cp:coreProperties>
</file>