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B05B" w14:textId="77777777" w:rsidR="008C6933" w:rsidRPr="00114BA0" w:rsidRDefault="008C6933" w:rsidP="008C693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8C69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Pies przewodnik należy do grupy psów asystujących (obok </w:t>
      </w:r>
      <w:r w:rsidRPr="008C6933">
        <w:rPr>
          <w:rFonts w:ascii="Times New Roman" w:eastAsia="Times New Roman" w:hAnsi="Times New Roman" w:cs="Times New Roman"/>
          <w:i/>
          <w:iCs/>
          <w:color w:val="FFD966" w:themeColor="accent4" w:themeTint="99"/>
          <w:sz w:val="24"/>
          <w:szCs w:val="24"/>
          <w:lang w:eastAsia="pl-PL"/>
        </w:rPr>
        <w:t>psa</w:t>
      </w:r>
      <w:r w:rsidRPr="008C6933">
        <w:rPr>
          <w:rFonts w:ascii="Times New Roman" w:eastAsia="Times New Roman" w:hAnsi="Times New Roman" w:cs="Times New Roman"/>
          <w:b/>
          <w:bCs/>
          <w:i/>
          <w:iCs/>
          <w:color w:val="FFD966" w:themeColor="accent4" w:themeTint="99"/>
          <w:sz w:val="24"/>
          <w:szCs w:val="24"/>
          <w:lang w:eastAsia="pl-PL"/>
        </w:rPr>
        <w:t xml:space="preserve"> asystenta osoby niepełnosprawnej ruchowo, psa sygnalizującego osoby głuchej i niedosłyszącej oraz psa sygnalizującego atak choroby). Pomaga osobom niewidomym w </w:t>
      </w:r>
      <w:r w:rsidRPr="008C693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l-PL"/>
        </w:rPr>
        <w:t>samodzielnym i bezpiecznym poruszaniu się bez obawy natrafienia na przeszkodę</w:t>
      </w: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>.</w:t>
      </w:r>
    </w:p>
    <w:p w14:paraId="0A704E41" w14:textId="77777777" w:rsidR="008C6933" w:rsidRPr="00114BA0" w:rsidRDefault="008C6933" w:rsidP="008C6933">
      <w:pPr>
        <w:shd w:val="clear" w:color="auto" w:fill="FFFFFF"/>
        <w:spacing w:before="300" w:after="0" w:line="360" w:lineRule="auto"/>
        <w:rPr>
          <w:rFonts w:eastAsia="Times New Roman" w:cstheme="minorHAnsi"/>
          <w:b/>
          <w:bCs/>
          <w:color w:val="000080"/>
          <w:sz w:val="24"/>
          <w:szCs w:val="24"/>
          <w:lang w:eastAsia="pl-PL"/>
        </w:rPr>
      </w:pPr>
      <w:r w:rsidRPr="00114BA0">
        <w:rPr>
          <w:rFonts w:eastAsia="Times New Roman" w:cstheme="minorHAnsi"/>
          <w:b/>
          <w:bCs/>
          <w:color w:val="000080"/>
          <w:sz w:val="24"/>
          <w:szCs w:val="24"/>
          <w:lang w:eastAsia="pl-PL"/>
        </w:rPr>
        <w:t>Zgodnie z przepisami prawa pies przewodnik może towarzyszyć osobie niewidomej:</w:t>
      </w:r>
    </w:p>
    <w:p w14:paraId="1176DA20" w14:textId="77777777" w:rsidR="008C6933" w:rsidRPr="00114BA0" w:rsidRDefault="008C6933" w:rsidP="008C69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right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>w obiektach użyteczności publicznej,</w:t>
      </w:r>
    </w:p>
    <w:p w14:paraId="179AAE2E" w14:textId="77777777" w:rsidR="008C6933" w:rsidRPr="00114BA0" w:rsidRDefault="008C6933" w:rsidP="008C69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right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>w parkach narodowych i rezerwatach przyrody,</w:t>
      </w:r>
    </w:p>
    <w:p w14:paraId="2418E92A" w14:textId="77777777" w:rsidR="008C6933" w:rsidRPr="00114BA0" w:rsidRDefault="008C6933" w:rsidP="008C69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right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>na plażach i kąpieliskach,</w:t>
      </w:r>
    </w:p>
    <w:p w14:paraId="6AB5AA8D" w14:textId="77777777" w:rsidR="008C6933" w:rsidRPr="00114BA0" w:rsidRDefault="008C6933" w:rsidP="008C69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right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>w środkach transportu kolejowego, drogowego, lotniczego i wodnego a także innych środkach komunikacji publicznej.</w:t>
      </w:r>
    </w:p>
    <w:p w14:paraId="565CC933" w14:textId="77777777" w:rsidR="008C6933" w:rsidRPr="00114BA0" w:rsidRDefault="008C6933" w:rsidP="008C6933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111111"/>
          <w:sz w:val="24"/>
          <w:szCs w:val="24"/>
          <w:lang w:eastAsia="pl-PL"/>
        </w:rPr>
      </w:pPr>
    </w:p>
    <w:p w14:paraId="21E61509" w14:textId="77777777" w:rsidR="008C6933" w:rsidRDefault="008C6933" w:rsidP="008C6933">
      <w:pPr>
        <w:shd w:val="clear" w:color="auto" w:fill="FFFFFF"/>
        <w:spacing w:before="300" w:after="300" w:line="360" w:lineRule="auto"/>
        <w:jc w:val="both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 xml:space="preserve">Pies nie musi mieć założonego kagańca. Musi natomiast być wyposażony w specjalną </w:t>
      </w:r>
      <w:r>
        <w:rPr>
          <w:rFonts w:eastAsia="Times New Roman" w:cstheme="minorHAnsi"/>
          <w:color w:val="111111"/>
          <w:sz w:val="24"/>
          <w:szCs w:val="24"/>
          <w:lang w:eastAsia="pl-PL"/>
        </w:rPr>
        <w:br/>
      </w: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 xml:space="preserve">uprząż z pałąkiem, zwaną szorkami z umieszczonym </w:t>
      </w:r>
      <w:r>
        <w:rPr>
          <w:rFonts w:eastAsia="Times New Roman" w:cstheme="minorHAnsi"/>
          <w:color w:val="111111"/>
          <w:sz w:val="24"/>
          <w:szCs w:val="24"/>
          <w:lang w:eastAsia="pl-PL"/>
        </w:rPr>
        <w:br/>
      </w: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 xml:space="preserve">widocznym napisem „Pies asystujący” (mogą się pojawić również napisy dodatkowe, np.: „nie głaskać-pracuję”, „nie zaczepiać”). </w:t>
      </w:r>
    </w:p>
    <w:p w14:paraId="7550D1BE" w14:textId="7AD5EFFE" w:rsidR="00BE5C52" w:rsidRDefault="008C6933" w:rsidP="008C6933">
      <w:pPr>
        <w:shd w:val="clear" w:color="auto" w:fill="FFFFFF"/>
        <w:spacing w:before="300" w:after="300" w:line="360" w:lineRule="auto"/>
        <w:jc w:val="both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8C6933">
        <w:rPr>
          <w:rFonts w:eastAsia="Times New Roman" w:cstheme="minorHAnsi"/>
          <w:color w:val="111111"/>
          <w:sz w:val="24"/>
          <w:szCs w:val="24"/>
          <w:highlight w:val="darkYellow"/>
          <w:lang w:eastAsia="pl-PL"/>
        </w:rPr>
        <w:t>Szorki pomagają osobie niewidomej „odczytać” sygnały i szybko zareagować w sytuacjach zatrzymania się, konieczności ominięcia przeszkody czy skrętu. Pies idzie przy lewej nodze osoby niewidomej, pół kroku przed nią. Do standardowego „ubioru” psa przewodnika należą również obroża oraz smycz.</w:t>
      </w: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 xml:space="preserve"> </w:t>
      </w:r>
    </w:p>
    <w:p w14:paraId="54738C8C" w14:textId="51C7AF22" w:rsidR="00BE5C52" w:rsidRDefault="00BE5C52" w:rsidP="008C6933">
      <w:pPr>
        <w:shd w:val="clear" w:color="auto" w:fill="FFFFFF"/>
        <w:spacing w:before="300" w:after="300" w:line="360" w:lineRule="auto"/>
        <w:jc w:val="both"/>
        <w:rPr>
          <w:rFonts w:eastAsia="Times New Roman" w:cstheme="minorHAnsi"/>
          <w:color w:val="111111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3CBFB79C" wp14:editId="2B067690">
            <wp:extent cx="2182940" cy="1459865"/>
            <wp:effectExtent l="0" t="0" r="8255" b="6985"/>
            <wp:docPr id="1" name="Obraz 1" descr="Automatyczny pies przewodnik dla niewidomych. Projektem uczniów ZSTiO w  Jarosławiu zainteresował się wiceminister Paweł Wdówik | Jarosław Nasze  Mia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matyczny pies przewodnik dla niewidomych. Projektem uczniów ZSTiO w  Jarosławiu zainteresował się wiceminister Paweł Wdówik | Jarosław Nasze  Mias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75" cy="146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8B89" w14:textId="388B561E" w:rsidR="008C6933" w:rsidRPr="0080470B" w:rsidRDefault="008C6933" w:rsidP="008C6933">
      <w:pPr>
        <w:shd w:val="clear" w:color="auto" w:fill="FFFFFF"/>
        <w:spacing w:before="300" w:after="300" w:line="360" w:lineRule="auto"/>
        <w:jc w:val="both"/>
        <w:rPr>
          <w:rFonts w:eastAsia="Times New Roman" w:cstheme="minorHAnsi"/>
          <w:color w:val="111111"/>
          <w:sz w:val="20"/>
          <w:szCs w:val="20"/>
          <w:lang w:eastAsia="pl-PL"/>
        </w:rPr>
      </w:pPr>
      <w:r w:rsidRPr="0080470B">
        <w:rPr>
          <w:rFonts w:eastAsia="Times New Roman" w:cstheme="minorHAnsi"/>
          <w:color w:val="111111"/>
          <w:sz w:val="20"/>
          <w:szCs w:val="20"/>
          <w:lang w:eastAsia="pl-PL"/>
        </w:rPr>
        <w:t>Osoba niewidoma powinna zawsze mieć przy sobie certyfikat potwierdzający status psa asystującego i zaświadczenia o wykonaniu wymaganych szczepień weterynaryjnych. W myśl uprawnień osoba z niepełnosprawnością ponosi odpowiedzialność z szkody wyrządzone przez psa asystującego.</w:t>
      </w:r>
    </w:p>
    <w:p w14:paraId="43B8D0B9" w14:textId="77777777" w:rsidR="008C6933" w:rsidRPr="00114BA0" w:rsidRDefault="008C6933" w:rsidP="008C6933">
      <w:pPr>
        <w:shd w:val="clear" w:color="auto" w:fill="FFFFFF"/>
        <w:spacing w:before="300" w:after="300" w:line="360" w:lineRule="auto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114BA0">
        <w:rPr>
          <w:rFonts w:eastAsia="Times New Roman" w:cstheme="minorHAnsi"/>
          <w:color w:val="111111"/>
          <w:sz w:val="24"/>
          <w:szCs w:val="24"/>
          <w:lang w:eastAsia="pl-PL"/>
        </w:rPr>
        <w:t>Jeśli przyjdzie nam być przewodnikiem osoby niewidomej, która porusza się z psem przewodnikiem, pomagamy idąc z przeciwnej niż pies strony, najczęściej idąc przed właścicielem psa. Najlepiej uzgodnić bezpieczny i wygodny dla osoby niewidomej sposób poruszania.</w:t>
      </w:r>
    </w:p>
    <w:p w14:paraId="322FFA4C" w14:textId="77777777" w:rsidR="00BE5C52" w:rsidRDefault="00BE5C52" w:rsidP="00BE5C52">
      <w:pPr>
        <w:shd w:val="clear" w:color="auto" w:fill="FFFFFF"/>
        <w:spacing w:before="300" w:after="300" w:line="240" w:lineRule="auto"/>
        <w:jc w:val="right"/>
        <w:rPr>
          <w:rFonts w:eastAsia="Times New Roman" w:cstheme="minorHAnsi"/>
          <w:color w:val="111111"/>
          <w:sz w:val="24"/>
          <w:szCs w:val="24"/>
          <w:lang w:eastAsia="pl-PL"/>
        </w:rPr>
      </w:pPr>
    </w:p>
    <w:p w14:paraId="65CA19DA" w14:textId="77777777" w:rsidR="00BE5C52" w:rsidRDefault="00BE5C52" w:rsidP="00BE5C52">
      <w:pPr>
        <w:shd w:val="clear" w:color="auto" w:fill="FFFFFF"/>
        <w:spacing w:before="300" w:after="300" w:line="240" w:lineRule="auto"/>
        <w:jc w:val="right"/>
        <w:rPr>
          <w:rFonts w:eastAsia="Times New Roman" w:cstheme="minorHAnsi"/>
          <w:color w:val="111111"/>
          <w:sz w:val="24"/>
          <w:szCs w:val="24"/>
          <w:lang w:eastAsia="pl-PL"/>
        </w:rPr>
      </w:pPr>
    </w:p>
    <w:p w14:paraId="1B24EF05" w14:textId="1C7A4C84" w:rsidR="00BE5C52" w:rsidRDefault="008C6933" w:rsidP="00BE5C52">
      <w:pPr>
        <w:shd w:val="clear" w:color="auto" w:fill="FFFFFF"/>
        <w:spacing w:before="300" w:after="300" w:line="240" w:lineRule="auto"/>
        <w:jc w:val="right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BE5C52">
        <w:rPr>
          <w:rFonts w:ascii="Book Antiqua" w:eastAsia="Times New Roman" w:hAnsi="Book Antiqua" w:cstheme="minorHAnsi"/>
          <w:color w:val="111111"/>
          <w:sz w:val="24"/>
          <w:szCs w:val="24"/>
          <w:lang w:eastAsia="pl-PL"/>
        </w:rPr>
        <w:t xml:space="preserve">Najważniejszą zasadą dla osób postronnych jest to, aby pamiętać, że pies jest w pracy – </w:t>
      </w:r>
      <w:r w:rsidRPr="00BE5C52">
        <w:rPr>
          <w:rFonts w:ascii="Book Antiqua" w:eastAsia="Times New Roman" w:hAnsi="Book Antiqua" w:cstheme="minorHAnsi"/>
          <w:b/>
          <w:bCs/>
          <w:i/>
          <w:iCs/>
          <w:color w:val="111111"/>
          <w:sz w:val="28"/>
          <w:szCs w:val="28"/>
          <w:lang w:eastAsia="pl-PL"/>
        </w:rPr>
        <w:t>NIE WOLNO</w:t>
      </w:r>
      <w:r w:rsidRPr="00BE5C52">
        <w:rPr>
          <w:rFonts w:ascii="Book Antiqua" w:eastAsia="Times New Roman" w:hAnsi="Book Antiqua" w:cstheme="minorHAnsi"/>
          <w:color w:val="111111"/>
          <w:sz w:val="24"/>
          <w:szCs w:val="24"/>
          <w:lang w:eastAsia="pl-PL"/>
        </w:rPr>
        <w:t xml:space="preserve"> go rozpraszać, dotykać, mówić do niego ani dokarmiać. Od  skupienia  i czujności psa przewodnika zależy zdrowie i bezpieczeństwo, a niekiedy nawet życie osoby niewidomej</w:t>
      </w:r>
      <w:r w:rsidRPr="00BE5C52">
        <w:rPr>
          <w:rFonts w:eastAsia="Times New Roman" w:cstheme="minorHAnsi"/>
          <w:color w:val="111111"/>
          <w:sz w:val="24"/>
          <w:szCs w:val="24"/>
          <w:lang w:eastAsia="pl-PL"/>
        </w:rPr>
        <w:t xml:space="preserve">. </w:t>
      </w:r>
    </w:p>
    <w:p w14:paraId="1AD625D1" w14:textId="24758FCE" w:rsidR="00BE5C52" w:rsidRPr="00BE5C52" w:rsidRDefault="00BE5C52" w:rsidP="0080470B">
      <w:pPr>
        <w:shd w:val="clear" w:color="auto" w:fill="FFFFFF"/>
        <w:spacing w:before="300" w:after="300" w:line="240" w:lineRule="auto"/>
        <w:jc w:val="center"/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</w:pP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Najwa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ż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niejsz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ą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 xml:space="preserve"> zasad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ą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 xml:space="preserve"> dla os</w:t>
      </w:r>
      <w:r w:rsidRPr="00BE5C52">
        <w:rPr>
          <w:rFonts w:ascii="Blackadder ITC" w:eastAsia="Times New Roman" w:hAnsi="Blackadder ITC" w:cs="Blackadder ITC"/>
          <w:color w:val="111111"/>
          <w:sz w:val="36"/>
          <w:szCs w:val="36"/>
          <w:lang w:eastAsia="pl-PL"/>
        </w:rPr>
        <w:t>ó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b postronnych jest to, aby pami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ę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ta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ć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 xml:space="preserve">, 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ż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 xml:space="preserve">e pies jest w pracy </w:t>
      </w:r>
      <w:r w:rsidRPr="00BE5C52">
        <w:rPr>
          <w:rFonts w:ascii="Blackadder ITC" w:eastAsia="Times New Roman" w:hAnsi="Blackadder ITC" w:cs="Blackadder ITC"/>
          <w:color w:val="111111"/>
          <w:sz w:val="36"/>
          <w:szCs w:val="36"/>
          <w:lang w:eastAsia="pl-PL"/>
        </w:rPr>
        <w:t>–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 xml:space="preserve"> </w:t>
      </w:r>
      <w:r w:rsidRPr="00BE5C52">
        <w:rPr>
          <w:rFonts w:ascii="Blackadder ITC" w:eastAsia="Times New Roman" w:hAnsi="Blackadder ITC" w:cstheme="minorHAnsi"/>
          <w:b/>
          <w:bCs/>
          <w:i/>
          <w:iCs/>
          <w:color w:val="111111"/>
          <w:sz w:val="36"/>
          <w:szCs w:val="36"/>
          <w:lang w:eastAsia="pl-PL"/>
        </w:rPr>
        <w:t>NIE WOLNO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 xml:space="preserve"> go rozprasza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ć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, dotyka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ć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, m</w:t>
      </w:r>
      <w:r w:rsidRPr="00BE5C52">
        <w:rPr>
          <w:rFonts w:ascii="Blackadder ITC" w:eastAsia="Times New Roman" w:hAnsi="Blackadder ITC" w:cs="Blackadder ITC"/>
          <w:color w:val="111111"/>
          <w:sz w:val="36"/>
          <w:szCs w:val="36"/>
          <w:lang w:eastAsia="pl-PL"/>
        </w:rPr>
        <w:t>ó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wi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ć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 xml:space="preserve"> do niego ani dokarmia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ć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. Od  skupienia  i czujno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ś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ci psa przewodnika zale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ż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y zdrowie i bezpiecze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ń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 xml:space="preserve">stwo, a niekiedy nawet </w:t>
      </w:r>
      <w:r w:rsidRPr="00BE5C52">
        <w:rPr>
          <w:rFonts w:ascii="Calibri" w:eastAsia="Times New Roman" w:hAnsi="Calibri" w:cs="Calibri"/>
          <w:color w:val="111111"/>
          <w:sz w:val="36"/>
          <w:szCs w:val="36"/>
          <w:lang w:eastAsia="pl-PL"/>
        </w:rPr>
        <w:t>ż</w:t>
      </w:r>
      <w:r w:rsidRPr="00BE5C52">
        <w:rPr>
          <w:rFonts w:ascii="Blackadder ITC" w:eastAsia="Times New Roman" w:hAnsi="Blackadder ITC" w:cstheme="minorHAnsi"/>
          <w:color w:val="111111"/>
          <w:sz w:val="36"/>
          <w:szCs w:val="36"/>
          <w:lang w:eastAsia="pl-PL"/>
        </w:rPr>
        <w:t>ycie osoby niewidomej</w:t>
      </w:r>
    </w:p>
    <w:p w14:paraId="242C2DC3" w14:textId="79C1CEBC" w:rsidR="008C6933" w:rsidRPr="008C6933" w:rsidRDefault="008C6933" w:rsidP="0080470B">
      <w:pPr>
        <w:shd w:val="clear" w:color="auto" w:fill="FFFFFF"/>
        <w:spacing w:before="300" w:after="300" w:line="360" w:lineRule="auto"/>
        <w:jc w:val="center"/>
        <w:rPr>
          <w:rFonts w:ascii="Arial Black" w:eastAsia="Times New Roman" w:hAnsi="Arial Black" w:cstheme="minorHAnsi"/>
          <w:color w:val="111111"/>
          <w:sz w:val="24"/>
          <w:szCs w:val="24"/>
          <w:lang w:eastAsia="pl-PL"/>
        </w:rPr>
      </w:pPr>
      <w:r w:rsidRPr="00BE5C52">
        <w:rPr>
          <w:rFonts w:ascii="Arial Black" w:eastAsia="Times New Roman" w:hAnsi="Arial Black" w:cstheme="minorHAnsi"/>
          <w:color w:val="111111"/>
          <w:sz w:val="18"/>
          <w:szCs w:val="18"/>
          <w:lang w:eastAsia="pl-PL"/>
        </w:rPr>
        <w:t>Pogłaskanie psa możliwe jest jedynie wtedy, kiedy ma  już zdjęte szorki (nie pracuje) i gdy zgodę na to wyrazi właściciel zwierzęcia. Aby zapewnić psu komfort, można zaproponować podanie psu miski wody.</w:t>
      </w:r>
    </w:p>
    <w:p w14:paraId="4DE46289" w14:textId="77777777" w:rsidR="008C6933" w:rsidRPr="00114BA0" w:rsidRDefault="008C6933" w:rsidP="008C6933">
      <w:pPr>
        <w:shd w:val="clear" w:color="auto" w:fill="FFFFFF"/>
        <w:spacing w:after="0" w:line="240" w:lineRule="auto"/>
        <w:outlineLvl w:val="4"/>
        <w:rPr>
          <w:rFonts w:cstheme="minorHAnsi"/>
          <w:sz w:val="24"/>
          <w:szCs w:val="24"/>
        </w:rPr>
      </w:pPr>
      <w:r w:rsidRPr="00114BA0">
        <w:rPr>
          <w:rFonts w:cstheme="minorHAnsi"/>
          <w:sz w:val="24"/>
          <w:szCs w:val="24"/>
        </w:rPr>
        <w:t xml:space="preserve">Podstawa prawna: </w:t>
      </w:r>
    </w:p>
    <w:p w14:paraId="4DA513A9" w14:textId="7757CAB1" w:rsidR="008C6933" w:rsidRPr="008C6933" w:rsidRDefault="008C6933" w:rsidP="008C6933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4"/>
        <w:rPr>
          <w:rFonts w:eastAsia="Times New Roman" w:cstheme="minorHAnsi"/>
          <w:color w:val="111111"/>
          <w:sz w:val="24"/>
          <w:szCs w:val="24"/>
          <w:lang w:eastAsia="pl-PL"/>
        </w:rPr>
      </w:pPr>
      <w:r w:rsidRPr="00F10A92">
        <w:rPr>
          <w:rFonts w:eastAsia="Times New Roman" w:cstheme="minorHAnsi"/>
          <w:color w:val="000080"/>
          <w:sz w:val="24"/>
          <w:szCs w:val="24"/>
          <w:lang w:eastAsia="pl-PL"/>
        </w:rPr>
        <w:t>art. 20a i 20b ustawy z dn. 27 sierpnia 1997 r. o rehabilitacji zawodowej i społecznej oraz zatrudnianiu osób niepełnosprawnych</w:t>
      </w:r>
      <w:r w:rsidRPr="00F10A92">
        <w:rPr>
          <w:rFonts w:eastAsia="Times New Roman" w:cstheme="minorHAnsi"/>
          <w:color w:val="111111"/>
          <w:sz w:val="24"/>
          <w:szCs w:val="24"/>
          <w:lang w:eastAsia="pl-PL"/>
        </w:rPr>
        <w:t> </w:t>
      </w:r>
      <w:r w:rsidRPr="00F10A92">
        <w:rPr>
          <w:rFonts w:eastAsia="Times New Roman" w:cstheme="minorHAnsi"/>
          <w:color w:val="808080"/>
          <w:sz w:val="24"/>
          <w:szCs w:val="24"/>
          <w:lang w:eastAsia="pl-PL"/>
        </w:rPr>
        <w:t xml:space="preserve">(Dz.U. z 2019 poz. 1172, z </w:t>
      </w:r>
      <w:proofErr w:type="spellStart"/>
      <w:r w:rsidRPr="00F10A92">
        <w:rPr>
          <w:rFonts w:eastAsia="Times New Roman" w:cstheme="minorHAnsi"/>
          <w:color w:val="808080"/>
          <w:sz w:val="24"/>
          <w:szCs w:val="24"/>
          <w:lang w:eastAsia="pl-PL"/>
        </w:rPr>
        <w:t>późn</w:t>
      </w:r>
      <w:proofErr w:type="spellEnd"/>
      <w:r w:rsidRPr="00F10A92">
        <w:rPr>
          <w:rFonts w:eastAsia="Times New Roman" w:cstheme="minorHAnsi"/>
          <w:color w:val="808080"/>
          <w:sz w:val="24"/>
          <w:szCs w:val="24"/>
          <w:lang w:eastAsia="pl-PL"/>
        </w:rPr>
        <w:t>. zm.);</w:t>
      </w:r>
      <w:r>
        <w:rPr>
          <w:rFonts w:eastAsia="Times New Roman" w:cstheme="minorHAnsi"/>
          <w:color w:val="808080"/>
          <w:sz w:val="24"/>
          <w:szCs w:val="24"/>
          <w:lang w:eastAsia="pl-PL"/>
        </w:rPr>
        <w:t xml:space="preserve"> </w:t>
      </w:r>
      <w:r w:rsidRPr="008C6933">
        <w:rPr>
          <w:rFonts w:eastAsia="Times New Roman" w:cstheme="minorHAnsi"/>
          <w:color w:val="808080"/>
          <w:sz w:val="24"/>
          <w:szCs w:val="24"/>
          <w:lang w:eastAsia="pl-PL"/>
        </w:rPr>
        <w:t>https://isap.sejm.gov.pl/isap.nsf/download.xsp/WDU19971230776/U/D19970776Lj.pdf</w:t>
      </w:r>
    </w:p>
    <w:p w14:paraId="7E07D7B7" w14:textId="77777777" w:rsidR="008C6933" w:rsidRPr="00F10A92" w:rsidRDefault="008C6933" w:rsidP="008C6933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4"/>
        <w:rPr>
          <w:rFonts w:eastAsia="Times New Roman" w:cstheme="minorHAnsi"/>
          <w:color w:val="111111"/>
          <w:sz w:val="24"/>
          <w:szCs w:val="24"/>
          <w:lang w:eastAsia="pl-PL"/>
        </w:rPr>
      </w:pPr>
    </w:p>
    <w:p w14:paraId="32795A83" w14:textId="46A12949" w:rsidR="008C6933" w:rsidRDefault="008C6933" w:rsidP="008C6933">
      <w:pPr>
        <w:rPr>
          <w:rFonts w:eastAsia="Times New Roman" w:cstheme="minorHAnsi"/>
          <w:color w:val="000080"/>
          <w:sz w:val="24"/>
          <w:szCs w:val="24"/>
          <w:lang w:eastAsia="pl-PL"/>
        </w:rPr>
      </w:pPr>
      <w:r w:rsidRPr="00E3119C">
        <w:rPr>
          <w:rFonts w:eastAsia="Times New Roman" w:cstheme="minorHAnsi"/>
          <w:color w:val="000080"/>
          <w:sz w:val="24"/>
          <w:szCs w:val="24"/>
          <w:lang w:eastAsia="pl-PL"/>
        </w:rPr>
        <w:t>rozporządzenie Ministra Pracy i Polityki Społecznej z dnia 1 kwietnia 2010 r. w sprawie wydawania certyfikatów</w:t>
      </w:r>
    </w:p>
    <w:p w14:paraId="2FB9BC3F" w14:textId="037797DB" w:rsidR="008C6933" w:rsidRDefault="008C6933" w:rsidP="008C6933">
      <w:pPr>
        <w:rPr>
          <w:rFonts w:eastAsia="Times New Roman" w:cstheme="minorHAnsi"/>
          <w:color w:val="000080"/>
          <w:sz w:val="24"/>
          <w:szCs w:val="24"/>
          <w:lang w:eastAsia="pl-PL"/>
        </w:rPr>
      </w:pPr>
    </w:p>
    <w:p w14:paraId="1E094D4E" w14:textId="65E76B45" w:rsidR="008C6933" w:rsidRDefault="008C6933" w:rsidP="008C6933">
      <w:r w:rsidRPr="00895F50">
        <w:rPr>
          <w:rFonts w:eastAsia="Times New Roman" w:cstheme="minorHAnsi"/>
          <w:b/>
          <w:noProof/>
          <w:sz w:val="20"/>
          <w:szCs w:val="20"/>
          <w:lang w:eastAsia="pl-PL"/>
        </w:rPr>
        <w:drawing>
          <wp:inline distT="0" distB="0" distL="0" distR="0" wp14:anchorId="7A0B3045" wp14:editId="093D73A1">
            <wp:extent cx="4511675" cy="2291080"/>
            <wp:effectExtent l="0" t="0" r="3175" b="1397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8C6933" w:rsidSect="00BE5C5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41081"/>
    <w:multiLevelType w:val="hybridMultilevel"/>
    <w:tmpl w:val="1EB20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42DFC"/>
    <w:multiLevelType w:val="multilevel"/>
    <w:tmpl w:val="B4BA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6393760">
    <w:abstractNumId w:val="1"/>
  </w:num>
  <w:num w:numId="2" w16cid:durableId="71185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33"/>
    <w:rsid w:val="0080470B"/>
    <w:rsid w:val="008C227E"/>
    <w:rsid w:val="008C6933"/>
    <w:rsid w:val="00BE5C52"/>
    <w:rsid w:val="00EA5661"/>
    <w:rsid w:val="00FB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D743"/>
  <w15:chartTrackingRefBased/>
  <w15:docId w15:val="{E4E96B62-902E-430D-94F1-A49DD620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9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933"/>
    <w:pPr>
      <w:ind w:left="720"/>
      <w:contextualSpacing/>
    </w:pPr>
  </w:style>
  <w:style w:type="table" w:styleId="Tabela-Siatka">
    <w:name w:val="Table Grid"/>
    <w:basedOn w:val="Standardowy"/>
    <w:uiPriority w:val="39"/>
    <w:rsid w:val="008C6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C69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u="none" strike="noStrike" baseline="0">
                <a:effectLst/>
              </a:rPr>
              <a:t>Lokalizacja placówki a płeć 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% kobiet w placówkach</c:v>
                </c:pt>
              </c:strCache>
            </c:strRef>
          </c:tx>
          <c:spPr>
            <a:solidFill>
              <a:srgbClr val="E7E6E6">
                <a:lumMod val="50000"/>
              </a:srgbClr>
            </a:solidFill>
            <a:ln>
              <a:solidFill>
                <a:sysClr val="window" lastClr="FFFFFF">
                  <a:lumMod val="50000"/>
                </a:sysClr>
              </a:solidFill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  <a:ln>
                <a:solidFill>
                  <a:srgbClr val="4F81BD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4A-47C4-82F3-C1251C00D1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Gminy miejskie N=1028</c:v>
                </c:pt>
                <c:pt idx="1">
                  <c:v>Gminy wiejskie N=904</c:v>
                </c:pt>
                <c:pt idx="2">
                  <c:v>Gminy miejsko-wiejskie  N=219</c:v>
                </c:pt>
                <c:pt idx="3">
                  <c:v>Ogółem N=2151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84.8</c:v>
                </c:pt>
                <c:pt idx="1">
                  <c:v>86.1</c:v>
                </c:pt>
                <c:pt idx="2">
                  <c:v>88.1</c:v>
                </c:pt>
                <c:pt idx="3">
                  <c:v>85.7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14A-47C4-82F3-C1251C00D1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% mężczyzn w placówkach</c:v>
                </c:pt>
              </c:strCache>
            </c:strRef>
          </c:tx>
          <c:spPr>
            <a:solidFill>
              <a:srgbClr val="E7E6E6">
                <a:lumMod val="75000"/>
              </a:srgbClr>
            </a:solidFill>
            <a:ln>
              <a:solidFill>
                <a:srgbClr val="C0504D">
                  <a:lumMod val="75000"/>
                </a:srgb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Gminy miejskie N=1028</c:v>
                </c:pt>
                <c:pt idx="1">
                  <c:v>Gminy wiejskie N=904</c:v>
                </c:pt>
                <c:pt idx="2">
                  <c:v>Gminy miejsko-wiejskie  N=219</c:v>
                </c:pt>
                <c:pt idx="3">
                  <c:v>Ogółem N=2151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15.2</c:v>
                </c:pt>
                <c:pt idx="1">
                  <c:v>13.9</c:v>
                </c:pt>
                <c:pt idx="2">
                  <c:v>11.9</c:v>
                </c:pt>
                <c:pt idx="3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14A-47C4-82F3-C1251C00D19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% badanych w placówkach danego typu</c:v>
                </c:pt>
              </c:strCache>
            </c:strRef>
          </c:tx>
          <c:spPr>
            <a:solidFill>
              <a:srgbClr val="E7E6E6">
                <a:lumMod val="50000"/>
              </a:srgbClr>
            </a:solidFill>
            <a:ln>
              <a:solidFill>
                <a:srgbClr val="00B05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4A-47C4-82F3-C1251C00D196}"/>
              </c:ext>
            </c:extLst>
          </c:dPt>
          <c:dPt>
            <c:idx val="1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4A-47C4-82F3-C1251C00D196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14A-47C4-82F3-C1251C00D196}"/>
              </c:ext>
            </c:extLst>
          </c:dPt>
          <c:dPt>
            <c:idx val="3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214A-47C4-82F3-C1251C00D1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Gminy miejskie N=1028</c:v>
                </c:pt>
                <c:pt idx="1">
                  <c:v>Gminy wiejskie N=904</c:v>
                </c:pt>
                <c:pt idx="2">
                  <c:v>Gminy miejsko-wiejskie  N=219</c:v>
                </c:pt>
                <c:pt idx="3">
                  <c:v>Ogółem N=2151</c:v>
                </c:pt>
              </c:strCache>
            </c:strRef>
          </c:cat>
          <c:val>
            <c:numRef>
              <c:f>Arkusz1!$D$2:$D$5</c:f>
              <c:numCache>
                <c:formatCode>General</c:formatCode>
                <c:ptCount val="4"/>
                <c:pt idx="0">
                  <c:v>47.8</c:v>
                </c:pt>
                <c:pt idx="1">
                  <c:v>42</c:v>
                </c:pt>
                <c:pt idx="2">
                  <c:v>10.199999999999999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14A-47C4-82F3-C1251C00D1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25767720"/>
        <c:axId val="425769360"/>
      </c:barChart>
      <c:catAx>
        <c:axId val="425767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5769360"/>
        <c:crosses val="autoZero"/>
        <c:auto val="1"/>
        <c:lblAlgn val="ctr"/>
        <c:lblOffset val="100"/>
        <c:noMultiLvlLbl val="0"/>
      </c:catAx>
      <c:valAx>
        <c:axId val="42576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5767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Bieganowska-Skóra</dc:creator>
  <cp:keywords/>
  <dc:description/>
  <cp:lastModifiedBy>Anna Bieganowska-Skóra</cp:lastModifiedBy>
  <cp:revision>2</cp:revision>
  <cp:lastPrinted>2022-11-13T06:46:00Z</cp:lastPrinted>
  <dcterms:created xsi:type="dcterms:W3CDTF">2026-03-27T15:42:00Z</dcterms:created>
  <dcterms:modified xsi:type="dcterms:W3CDTF">2026-03-27T15:42:00Z</dcterms:modified>
</cp:coreProperties>
</file>