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C777" w14:textId="77777777" w:rsidR="00D0297E" w:rsidRDefault="00385BDE" w:rsidP="00385BDE">
      <w:pPr>
        <w:pStyle w:val="Normalny1"/>
        <w:spacing w:line="360" w:lineRule="auto"/>
        <w:rPr>
          <w:rStyle w:val="ng-star-inserted"/>
          <w:rFonts w:ascii="Times New Roman" w:hAnsi="Times New Roman" w:cs="Times New Roman"/>
          <w:sz w:val="24"/>
          <w:szCs w:val="24"/>
        </w:rPr>
      </w:pPr>
      <w:r w:rsidRPr="00385BDE">
        <w:rPr>
          <w:rStyle w:val="ng-star-inserted"/>
          <w:rFonts w:ascii="Times New Roman" w:hAnsi="Times New Roman" w:cs="Times New Roman"/>
          <w:sz w:val="24"/>
          <w:szCs w:val="24"/>
        </w:rPr>
        <w:t xml:space="preserve">Źródło: </w:t>
      </w:r>
    </w:p>
    <w:p w14:paraId="1E708BB9" w14:textId="002D5905" w:rsidR="00385BDE" w:rsidRPr="00385BDE" w:rsidRDefault="00385BDE" w:rsidP="00385BDE">
      <w:pPr>
        <w:pStyle w:val="Normalny1"/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85BDE">
        <w:rPr>
          <w:rStyle w:val="ng-star-inserted"/>
          <w:rFonts w:ascii="Times New Roman" w:hAnsi="Times New Roman" w:cs="Times New Roman"/>
          <w:sz w:val="24"/>
          <w:szCs w:val="24"/>
        </w:rPr>
        <w:t xml:space="preserve">Łuszczuk, Monika. </w:t>
      </w:r>
      <w:r w:rsidRPr="00385BDE">
        <w:rPr>
          <w:rFonts w:ascii="Times New Roman" w:hAnsi="Times New Roman" w:cs="Times New Roman"/>
          <w:sz w:val="24"/>
          <w:szCs w:val="24"/>
        </w:rPr>
        <w:t xml:space="preserve">„Ocena budowy i motoryki narządów mowy”. W: A. Domagała, U. Mirecka (red.), Logopedia przedszkolna i  wczesnoszkolna, T. 2. Diagnozowanie i terapia zaburzeń mowy, Gdańsk: Wydawnictwo Harmonia </w:t>
      </w:r>
      <w:proofErr w:type="spellStart"/>
      <w:r w:rsidRPr="00385BDE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385BDE">
        <w:rPr>
          <w:rFonts w:ascii="Times New Roman" w:hAnsi="Times New Roman" w:cs="Times New Roman"/>
          <w:sz w:val="24"/>
          <w:szCs w:val="24"/>
        </w:rPr>
        <w:t xml:space="preserve"> (2021) 93-122.</w:t>
      </w:r>
    </w:p>
    <w:p w14:paraId="142EB98E" w14:textId="2132B4E7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Narzędzie do badania motoryki oralnej </w:t>
      </w:r>
      <w:r w:rsidR="00C037A2">
        <w:rPr>
          <w:rFonts w:ascii="Times New Roman" w:eastAsia="Times New Roman" w:hAnsi="Times New Roman" w:cs="Times New Roman"/>
          <w:sz w:val="24"/>
          <w:szCs w:val="24"/>
        </w:rPr>
        <w:t xml:space="preserve">(część 1) 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kwestionariusz do oceny budowy i motoryki narządów mowy, który został stworzony na podstawie artykułu. Ocenie poddawan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 xml:space="preserve">jest aktywność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warg, żuchw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, język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>a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 xml:space="preserve"> podniebienia miękkiego Dla </w:t>
      </w:r>
      <w:r w:rsidR="00F87E97" w:rsidRPr="00DE7FBD">
        <w:rPr>
          <w:rFonts w:ascii="Times New Roman" w:eastAsia="Times New Roman" w:hAnsi="Times New Roman" w:cs="Times New Roman"/>
          <w:sz w:val="24"/>
          <w:szCs w:val="24"/>
        </w:rPr>
        <w:t xml:space="preserve">oceny </w:t>
      </w:r>
      <w:r w:rsidR="00C037A2">
        <w:rPr>
          <w:rFonts w:ascii="Times New Roman" w:eastAsia="Times New Roman" w:hAnsi="Times New Roman" w:cs="Times New Roman"/>
          <w:sz w:val="24"/>
          <w:szCs w:val="24"/>
        </w:rPr>
        <w:t xml:space="preserve">aktywności 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>poszczególnych narządów w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yodrębniono określone kryteria</w:t>
      </w:r>
      <w:r w:rsidRPr="003D6A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które zostały przedstawione w </w:t>
      </w:r>
      <w:r w:rsidR="00EA2110">
        <w:rPr>
          <w:rFonts w:ascii="Times New Roman" w:eastAsia="Times New Roman" w:hAnsi="Times New Roman" w:cs="Times New Roman"/>
          <w:sz w:val="24"/>
          <w:szCs w:val="24"/>
        </w:rPr>
        <w:t xml:space="preserve">poniższych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tabelach. Zaznaczając odpowiednie rubryki w każdej tabeli można jednoznacznie stwierdzić, czy dany narząd pracuje w sposób właściwy. Celem użycia narzędzia jest ocena pracy narządów artykulacyjnych podczas mówienia na podstawie bezpośredniej obserwacji (za wyjątkiem pracy podniebienia miękkiego, która 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oceniana pośrednio) bez użycia specjalistycznego instrumentarium. Punktem wyjścia do przeprowadzenia badania tym narzędziem, 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zastosowanie historyjki obrazkowej, aby w miarę możliwości ujednolicić warunki badania. Zadaniem każdego badanego jest opowiedzenie historii własnymi słowami. Podczas słuchania opowiada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 xml:space="preserve">nia badanego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ocenia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 xml:space="preserve"> się aktywność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>wskazanych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narządów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 xml:space="preserve">przy czym 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>racę podniebienia miękkiego ocenia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pośrednio</w:t>
      </w:r>
      <w:r w:rsidR="00F87E97" w:rsidRPr="003D6A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przy głoskach ustnych nie </w:t>
      </w:r>
      <w:r w:rsidR="003D6A5D" w:rsidRPr="003D6A5D">
        <w:rPr>
          <w:rFonts w:ascii="Times New Roman" w:eastAsia="Times New Roman" w:hAnsi="Times New Roman" w:cs="Times New Roman"/>
          <w:sz w:val="24"/>
          <w:szCs w:val="24"/>
        </w:rPr>
        <w:t>powinno być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nosowości, ponieważ podniebiennie miękkie unosi się i szczelnie zamyka drogę do nosowej części gardła i jamy nosowej</w:t>
      </w:r>
      <w:r w:rsidR="003D6A5D" w:rsidRPr="003D6A5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89A65EA" w14:textId="77777777" w:rsidR="00C037A2" w:rsidRDefault="00C037A2" w:rsidP="00C037A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Proszę zwróćcie uwagę na późniejszą interpretację danych (które „tak” odnosi się do oceny danego aspektu jako prawidłowy,  a które „tak” oznacza, że parament jest nieprawidłowy.</w:t>
      </w:r>
    </w:p>
    <w:p w14:paraId="00732ECB" w14:textId="53EE6EE3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ruchomości warg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7797"/>
        <w:gridCol w:w="851"/>
        <w:gridCol w:w="850"/>
      </w:tblGrid>
      <w:tr w:rsidR="003D6A5D" w:rsidRPr="00DE7FBD" w14:paraId="7B033366" w14:textId="77777777" w:rsidTr="00122E1B">
        <w:tc>
          <w:tcPr>
            <w:tcW w:w="7797" w:type="dxa"/>
          </w:tcPr>
          <w:p w14:paraId="5DD6C6FC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WARGI</w:t>
            </w:r>
          </w:p>
        </w:tc>
        <w:tc>
          <w:tcPr>
            <w:tcW w:w="851" w:type="dxa"/>
          </w:tcPr>
          <w:p w14:paraId="139C95F4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79317FDD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3D6A5D" w:rsidRPr="00DE7FBD" w14:paraId="16EAA179" w14:textId="77777777" w:rsidTr="00122E1B">
        <w:tc>
          <w:tcPr>
            <w:tcW w:w="7797" w:type="dxa"/>
          </w:tcPr>
          <w:p w14:paraId="44D7C27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Obie wargi pracują synchronicznie</w:t>
            </w:r>
          </w:p>
        </w:tc>
        <w:tc>
          <w:tcPr>
            <w:tcW w:w="851" w:type="dxa"/>
          </w:tcPr>
          <w:p w14:paraId="244C5D8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C8EA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3B9171F" w14:textId="77777777" w:rsidTr="00122E1B">
        <w:tc>
          <w:tcPr>
            <w:tcW w:w="7797" w:type="dxa"/>
          </w:tcPr>
          <w:p w14:paraId="424166E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Warga pracuje symetrycznie</w:t>
            </w:r>
          </w:p>
        </w:tc>
        <w:tc>
          <w:tcPr>
            <w:tcW w:w="851" w:type="dxa"/>
            <w:shd w:val="clear" w:color="auto" w:fill="767171" w:themeFill="background2" w:themeFillShade="80"/>
          </w:tcPr>
          <w:p w14:paraId="6214FAB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67171" w:themeFill="background2" w:themeFillShade="80"/>
          </w:tcPr>
          <w:p w14:paraId="59E2252D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7BF67963" w14:textId="77777777" w:rsidTr="00122E1B">
        <w:tc>
          <w:tcPr>
            <w:tcW w:w="7797" w:type="dxa"/>
          </w:tcPr>
          <w:p w14:paraId="7EB8F00D" w14:textId="77777777" w:rsidR="00DE7FBD" w:rsidRPr="00DE7FBD" w:rsidRDefault="00DE7FBD" w:rsidP="00DE7F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górna</w:t>
            </w:r>
          </w:p>
        </w:tc>
        <w:tc>
          <w:tcPr>
            <w:tcW w:w="851" w:type="dxa"/>
          </w:tcPr>
          <w:p w14:paraId="17DE233A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A2F54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2105AECF" w14:textId="77777777" w:rsidTr="00122E1B">
        <w:tc>
          <w:tcPr>
            <w:tcW w:w="7797" w:type="dxa"/>
          </w:tcPr>
          <w:p w14:paraId="399BBCEE" w14:textId="77777777" w:rsidR="00DE7FBD" w:rsidRPr="00DE7FBD" w:rsidRDefault="00DE7FBD" w:rsidP="00DE7FBD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dolna</w:t>
            </w:r>
          </w:p>
        </w:tc>
        <w:tc>
          <w:tcPr>
            <w:tcW w:w="851" w:type="dxa"/>
          </w:tcPr>
          <w:p w14:paraId="26ABDAF1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B194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655F6591" w14:textId="77777777" w:rsidTr="00122E1B">
        <w:tc>
          <w:tcPr>
            <w:tcW w:w="7797" w:type="dxa"/>
          </w:tcPr>
          <w:p w14:paraId="720FF1E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W zależności od artykułowanej głoski:</w:t>
            </w:r>
          </w:p>
        </w:tc>
        <w:tc>
          <w:tcPr>
            <w:tcW w:w="851" w:type="dxa"/>
            <w:shd w:val="clear" w:color="auto" w:fill="767171" w:themeFill="background2" w:themeFillShade="80"/>
          </w:tcPr>
          <w:p w14:paraId="68BFCEF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67171" w:themeFill="background2" w:themeFillShade="80"/>
          </w:tcPr>
          <w:p w14:paraId="2173751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0F6E7346" w14:textId="77777777" w:rsidTr="00122E1B">
        <w:tc>
          <w:tcPr>
            <w:tcW w:w="7797" w:type="dxa"/>
          </w:tcPr>
          <w:p w14:paraId="17C85BB2" w14:textId="77777777" w:rsidR="00DE7FBD" w:rsidRPr="00DE7FBD" w:rsidRDefault="00DE7FBD" w:rsidP="00DE7FB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 xml:space="preserve">symetrycznie zmienia się miejsce położenia kącików ust </w:t>
            </w:r>
          </w:p>
        </w:tc>
        <w:tc>
          <w:tcPr>
            <w:tcW w:w="851" w:type="dxa"/>
          </w:tcPr>
          <w:p w14:paraId="7C72845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C0526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19265D7" w14:textId="77777777" w:rsidTr="00122E1B">
        <w:tc>
          <w:tcPr>
            <w:tcW w:w="7797" w:type="dxa"/>
          </w:tcPr>
          <w:p w14:paraId="1B49108F" w14:textId="77777777" w:rsidR="00DE7FBD" w:rsidRPr="00DE7FBD" w:rsidRDefault="00DE7FBD" w:rsidP="00DE7FB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wargi zaokrąglają się lub spłaszczają, rozciągają lub skupiają</w:t>
            </w:r>
          </w:p>
        </w:tc>
        <w:tc>
          <w:tcPr>
            <w:tcW w:w="851" w:type="dxa"/>
          </w:tcPr>
          <w:p w14:paraId="5D0D066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BB900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2E953703" w14:textId="77777777" w:rsidTr="00122E1B">
        <w:tc>
          <w:tcPr>
            <w:tcW w:w="7797" w:type="dxa"/>
          </w:tcPr>
          <w:p w14:paraId="7859D380" w14:textId="77777777" w:rsidR="00DE7FBD" w:rsidRPr="00DE7FBD" w:rsidRDefault="00DE7FBD" w:rsidP="00DE7FB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zmienia się stopień otwarcia i kształt szpary ust</w:t>
            </w:r>
          </w:p>
        </w:tc>
        <w:tc>
          <w:tcPr>
            <w:tcW w:w="851" w:type="dxa"/>
          </w:tcPr>
          <w:p w14:paraId="2913D30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2B0CA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478" w:rsidRPr="00DE7FBD" w14:paraId="111378CE" w14:textId="77777777" w:rsidTr="007A7D1E">
        <w:tc>
          <w:tcPr>
            <w:tcW w:w="9498" w:type="dxa"/>
            <w:gridSpan w:val="3"/>
          </w:tcPr>
          <w:p w14:paraId="0734D672" w14:textId="42813207" w:rsidR="00F97478" w:rsidRPr="00DE7FBD" w:rsidRDefault="00F97478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                            RUCHOMOŚĆ WARG                       prawidłowa/ nieprawidłowa</w:t>
            </w:r>
          </w:p>
        </w:tc>
      </w:tr>
    </w:tbl>
    <w:p w14:paraId="76707968" w14:textId="77777777" w:rsidR="00C7371D" w:rsidRDefault="00C7371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4F950" w14:textId="02D6686B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ruchomości żuchwy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8079"/>
        <w:gridCol w:w="710"/>
        <w:gridCol w:w="709"/>
      </w:tblGrid>
      <w:tr w:rsidR="003D6A5D" w:rsidRPr="00DE7FBD" w14:paraId="0633ECA5" w14:textId="77777777" w:rsidTr="00F97478">
        <w:tc>
          <w:tcPr>
            <w:tcW w:w="8079" w:type="dxa"/>
          </w:tcPr>
          <w:p w14:paraId="1ECD3F2B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ŻUCHWA</w:t>
            </w:r>
          </w:p>
        </w:tc>
        <w:tc>
          <w:tcPr>
            <w:tcW w:w="710" w:type="dxa"/>
          </w:tcPr>
          <w:p w14:paraId="42FD049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7FA55ED4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3D6A5D" w:rsidRPr="00DE7FBD" w14:paraId="5BE37BD5" w14:textId="77777777" w:rsidTr="00F97478">
        <w:tc>
          <w:tcPr>
            <w:tcW w:w="8079" w:type="dxa"/>
          </w:tcPr>
          <w:p w14:paraId="110A32B6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Synchroniczna praca warg i żuchwy</w:t>
            </w:r>
          </w:p>
        </w:tc>
        <w:tc>
          <w:tcPr>
            <w:tcW w:w="710" w:type="dxa"/>
          </w:tcPr>
          <w:p w14:paraId="4F482F8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35B5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16A55ABA" w14:textId="77777777" w:rsidTr="00F97478">
        <w:tc>
          <w:tcPr>
            <w:tcW w:w="8079" w:type="dxa"/>
          </w:tcPr>
          <w:p w14:paraId="41127DC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Ruch żuchwy w linii prostej w kierunku góra/dół</w:t>
            </w:r>
          </w:p>
        </w:tc>
        <w:tc>
          <w:tcPr>
            <w:tcW w:w="710" w:type="dxa"/>
          </w:tcPr>
          <w:p w14:paraId="7D71497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C16D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08149BBC" w14:textId="77777777" w:rsidTr="00F97478">
        <w:tc>
          <w:tcPr>
            <w:tcW w:w="8079" w:type="dxa"/>
          </w:tcPr>
          <w:p w14:paraId="60964798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Duża (w kontraście do nieznacznej, czyli nieprawidłowej) amplituda ruchów odwodzenia i przywodzenia</w:t>
            </w:r>
          </w:p>
        </w:tc>
        <w:tc>
          <w:tcPr>
            <w:tcW w:w="710" w:type="dxa"/>
          </w:tcPr>
          <w:p w14:paraId="00456AA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18AF95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478" w:rsidRPr="00DE7FBD" w14:paraId="6BC68BEE" w14:textId="77777777" w:rsidTr="005E1E2E">
        <w:tc>
          <w:tcPr>
            <w:tcW w:w="9498" w:type="dxa"/>
            <w:gridSpan w:val="3"/>
          </w:tcPr>
          <w:p w14:paraId="69AEA395" w14:textId="0F196571" w:rsidR="00F97478" w:rsidRPr="00DE7FBD" w:rsidRDefault="00F97478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                            RUCHOMOŚĆ ŻUCHWY                       prawidłowa/ nieprawidłowa</w:t>
            </w:r>
          </w:p>
        </w:tc>
      </w:tr>
    </w:tbl>
    <w:p w14:paraId="19A72A6B" w14:textId="77777777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30820" w14:textId="75332DD2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 w:rsidR="003D6A5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pracy języka 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7797"/>
        <w:gridCol w:w="851"/>
        <w:gridCol w:w="850"/>
      </w:tblGrid>
      <w:tr w:rsidR="003D6A5D" w:rsidRPr="00DE7FBD" w14:paraId="08ECC2F6" w14:textId="77777777" w:rsidTr="00122E1B">
        <w:tc>
          <w:tcPr>
            <w:tcW w:w="7797" w:type="dxa"/>
          </w:tcPr>
          <w:p w14:paraId="1E2B8D21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JĘZYK</w:t>
            </w:r>
          </w:p>
        </w:tc>
        <w:tc>
          <w:tcPr>
            <w:tcW w:w="851" w:type="dxa"/>
          </w:tcPr>
          <w:p w14:paraId="07D1F08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1C050DBD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3D6A5D" w:rsidRPr="00DE7FBD" w14:paraId="3A6E5717" w14:textId="77777777" w:rsidTr="00122E1B">
        <w:tc>
          <w:tcPr>
            <w:tcW w:w="7797" w:type="dxa"/>
          </w:tcPr>
          <w:p w14:paraId="7E000CCA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Język pracuje symetrycznie</w:t>
            </w:r>
          </w:p>
        </w:tc>
        <w:tc>
          <w:tcPr>
            <w:tcW w:w="851" w:type="dxa"/>
          </w:tcPr>
          <w:p w14:paraId="62F78EC7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2D49A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6E14920" w14:textId="77777777" w:rsidTr="00122E1B">
        <w:tc>
          <w:tcPr>
            <w:tcW w:w="7797" w:type="dxa"/>
          </w:tcPr>
          <w:p w14:paraId="360FF0A3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 xml:space="preserve">Języka zmienia swój kształt i położenie w płaszczyźnie góra-dół i przód-tył w zależności od wymawianej głoski i jej sąsiedztwa, przy czym:  </w:t>
            </w:r>
          </w:p>
        </w:tc>
        <w:tc>
          <w:tcPr>
            <w:tcW w:w="851" w:type="dxa"/>
            <w:shd w:val="clear" w:color="auto" w:fill="767171" w:themeFill="background2" w:themeFillShade="80"/>
          </w:tcPr>
          <w:p w14:paraId="1C8F6A8B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67171" w:themeFill="background2" w:themeFillShade="80"/>
          </w:tcPr>
          <w:p w14:paraId="44F71B5B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3E4DAED2" w14:textId="77777777" w:rsidTr="00122E1B">
        <w:tc>
          <w:tcPr>
            <w:tcW w:w="7797" w:type="dxa"/>
          </w:tcPr>
          <w:p w14:paraId="1BBF2D04" w14:textId="77777777" w:rsidR="00DE7FBD" w:rsidRPr="00DE7FBD" w:rsidRDefault="00DE7FBD" w:rsidP="00DE7FBD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zawsze znajduje się w jamie ustnej właściwej (nie przekracza linii zębów)</w:t>
            </w:r>
          </w:p>
        </w:tc>
        <w:tc>
          <w:tcPr>
            <w:tcW w:w="851" w:type="dxa"/>
          </w:tcPr>
          <w:p w14:paraId="102EA482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9CF96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614E598D" w14:textId="77777777" w:rsidTr="00122E1B">
        <w:tc>
          <w:tcPr>
            <w:tcW w:w="7797" w:type="dxa"/>
          </w:tcPr>
          <w:p w14:paraId="45387565" w14:textId="77777777" w:rsidR="00DE7FBD" w:rsidRPr="00DE7FBD" w:rsidRDefault="00DE7FBD" w:rsidP="00DE7FBD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dodatkowo podczas wymowy głosek dentalizowanych nie jest widoczny, ponieważ górne i dolne siekacze są mocno zbliżone</w:t>
            </w:r>
          </w:p>
        </w:tc>
        <w:tc>
          <w:tcPr>
            <w:tcW w:w="851" w:type="dxa"/>
          </w:tcPr>
          <w:p w14:paraId="21FC8BFE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3631E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0C5F48BF" w14:textId="77777777" w:rsidTr="00122E1B">
        <w:tc>
          <w:tcPr>
            <w:tcW w:w="7797" w:type="dxa"/>
          </w:tcPr>
          <w:p w14:paraId="15CE668B" w14:textId="77777777" w:rsidR="00DE7FBD" w:rsidRPr="00DE7FBD" w:rsidRDefault="00DE7FBD" w:rsidP="00DE7FBD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 xml:space="preserve">ma właściwą pozycję </w:t>
            </w:r>
            <w:proofErr w:type="spellStart"/>
            <w:r w:rsidRPr="00DE7FBD">
              <w:rPr>
                <w:rFonts w:ascii="Times New Roman" w:hAnsi="Times New Roman"/>
                <w:sz w:val="24"/>
                <w:szCs w:val="24"/>
              </w:rPr>
              <w:t>śródwymawianiową</w:t>
            </w:r>
            <w:proofErr w:type="spellEnd"/>
          </w:p>
        </w:tc>
        <w:tc>
          <w:tcPr>
            <w:tcW w:w="851" w:type="dxa"/>
          </w:tcPr>
          <w:p w14:paraId="2A40A0B0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6150A4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5D" w:rsidRPr="00DE7FBD" w14:paraId="5CF053A6" w14:textId="77777777" w:rsidTr="00122E1B">
        <w:tc>
          <w:tcPr>
            <w:tcW w:w="7797" w:type="dxa"/>
          </w:tcPr>
          <w:p w14:paraId="3E767E76" w14:textId="77777777" w:rsidR="00DE7FBD" w:rsidRPr="00DE7FBD" w:rsidRDefault="00DE7FBD" w:rsidP="00DE7FBD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ma właściwą pozycję podczas realizacji fonemów [t] [d] [n] i [l]</w:t>
            </w:r>
          </w:p>
        </w:tc>
        <w:tc>
          <w:tcPr>
            <w:tcW w:w="851" w:type="dxa"/>
          </w:tcPr>
          <w:p w14:paraId="62DE3BBF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A70826" w14:textId="77777777" w:rsidR="00DE7FBD" w:rsidRPr="00DE7FBD" w:rsidRDefault="00DE7FBD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932" w:rsidRPr="00DE7FBD" w14:paraId="5069280C" w14:textId="77777777" w:rsidTr="007C317F">
        <w:tc>
          <w:tcPr>
            <w:tcW w:w="9498" w:type="dxa"/>
            <w:gridSpan w:val="3"/>
          </w:tcPr>
          <w:p w14:paraId="6B9F1157" w14:textId="0AE9F805" w:rsidR="00927932" w:rsidRPr="00DE7FBD" w:rsidRDefault="00927932" w:rsidP="00DE7F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                            RUCHOMOŚĆ JĘZYKA                       prawidłowa/ nieprawidłowa</w:t>
            </w:r>
          </w:p>
        </w:tc>
      </w:tr>
    </w:tbl>
    <w:p w14:paraId="0AC5E9D7" w14:textId="77777777" w:rsidR="00DE7FBD" w:rsidRPr="00DE7FBD" w:rsidRDefault="00DE7FB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9E8DE" w14:textId="6E13118D" w:rsidR="00583593" w:rsidRDefault="00583593" w:rsidP="0058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E7FBD">
        <w:rPr>
          <w:rFonts w:ascii="Times New Roman" w:eastAsia="Times New Roman" w:hAnsi="Times New Roman" w:cs="Times New Roman"/>
          <w:sz w:val="24"/>
          <w:szCs w:val="24"/>
        </w:rPr>
        <w:t xml:space="preserve"> Kryteria oceny pracy </w:t>
      </w:r>
      <w:r>
        <w:rPr>
          <w:rFonts w:ascii="Times New Roman" w:eastAsia="Times New Roman" w:hAnsi="Times New Roman" w:cs="Times New Roman"/>
          <w:sz w:val="24"/>
          <w:szCs w:val="24"/>
        </w:rPr>
        <w:t>podniebienia miękkiego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7797"/>
        <w:gridCol w:w="851"/>
        <w:gridCol w:w="850"/>
      </w:tblGrid>
      <w:tr w:rsidR="00583593" w:rsidRPr="00DE7FBD" w14:paraId="65D95216" w14:textId="77777777" w:rsidTr="009A3C34">
        <w:tc>
          <w:tcPr>
            <w:tcW w:w="7797" w:type="dxa"/>
          </w:tcPr>
          <w:p w14:paraId="5206C809" w14:textId="2C9B15F6" w:rsidR="00583593" w:rsidRPr="00DE7FBD" w:rsidRDefault="00583593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PODNIEBIENIE MIĘKKIE</w:t>
            </w:r>
          </w:p>
        </w:tc>
        <w:tc>
          <w:tcPr>
            <w:tcW w:w="851" w:type="dxa"/>
          </w:tcPr>
          <w:p w14:paraId="6934EE23" w14:textId="77777777" w:rsidR="00583593" w:rsidRPr="00DE7FBD" w:rsidRDefault="00583593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2EA0B1FF" w14:textId="77777777" w:rsidR="00583593" w:rsidRPr="00DE7FBD" w:rsidRDefault="00583593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B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583593" w:rsidRPr="00DE7FBD" w14:paraId="2825D537" w14:textId="77777777" w:rsidTr="009A3C34">
        <w:tc>
          <w:tcPr>
            <w:tcW w:w="7797" w:type="dxa"/>
          </w:tcPr>
          <w:p w14:paraId="5D2EF6A6" w14:textId="5B94068A" w:rsidR="00583593" w:rsidRPr="00DE7FBD" w:rsidRDefault="00583593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wymowie głosek ustnych słychać zabarwienie nosowe</w:t>
            </w:r>
          </w:p>
        </w:tc>
        <w:tc>
          <w:tcPr>
            <w:tcW w:w="851" w:type="dxa"/>
          </w:tcPr>
          <w:p w14:paraId="6DB92448" w14:textId="77777777" w:rsidR="00583593" w:rsidRPr="00DE7FBD" w:rsidRDefault="00583593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B1C029" w14:textId="77777777" w:rsidR="00583593" w:rsidRPr="00DE7FBD" w:rsidRDefault="00583593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932" w:rsidRPr="00DE7FBD" w14:paraId="0AE0A658" w14:textId="77777777" w:rsidTr="00AE66EC">
        <w:tc>
          <w:tcPr>
            <w:tcW w:w="9498" w:type="dxa"/>
            <w:gridSpan w:val="3"/>
          </w:tcPr>
          <w:p w14:paraId="66EF7176" w14:textId="037FC259" w:rsidR="00927932" w:rsidRPr="00DE7FBD" w:rsidRDefault="00927932" w:rsidP="009A3C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     RUCHOMOŚĆ PODNIEBIENIA MIĘKKIEGO          prawidłowa/ nieprawidłowa</w:t>
            </w:r>
          </w:p>
        </w:tc>
      </w:tr>
    </w:tbl>
    <w:p w14:paraId="49A6EFF3" w14:textId="5A7EC447" w:rsidR="00583593" w:rsidRPr="00DE7FBD" w:rsidRDefault="00583593" w:rsidP="005835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CBCF6" w14:textId="77777777" w:rsidR="00C7371D" w:rsidRDefault="00C7371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27FB0" w14:textId="77777777" w:rsidR="00C7371D" w:rsidRDefault="00C7371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43880" w14:textId="77777777" w:rsidR="00C7371D" w:rsidRDefault="00C7371D" w:rsidP="00DE7F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6E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309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71215C9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4E"/>
    <w:rsid w:val="00176972"/>
    <w:rsid w:val="002049BA"/>
    <w:rsid w:val="00235948"/>
    <w:rsid w:val="00385BDE"/>
    <w:rsid w:val="003D6A5D"/>
    <w:rsid w:val="00583593"/>
    <w:rsid w:val="00726338"/>
    <w:rsid w:val="00747717"/>
    <w:rsid w:val="008F0EE8"/>
    <w:rsid w:val="00927932"/>
    <w:rsid w:val="00983556"/>
    <w:rsid w:val="00B5142B"/>
    <w:rsid w:val="00C037A2"/>
    <w:rsid w:val="00C7371D"/>
    <w:rsid w:val="00D0297E"/>
    <w:rsid w:val="00D0356A"/>
    <w:rsid w:val="00DE7FBD"/>
    <w:rsid w:val="00E3654E"/>
    <w:rsid w:val="00EA2110"/>
    <w:rsid w:val="00EC7E51"/>
    <w:rsid w:val="00F87E97"/>
    <w:rsid w:val="00F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F0B9"/>
  <w15:chartTrackingRefBased/>
  <w15:docId w15:val="{5EB05244-AEB0-4568-8B06-1850C9E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FB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FBD"/>
    <w:pPr>
      <w:ind w:left="720"/>
      <w:contextualSpacing/>
    </w:pPr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F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FBD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FBD"/>
    <w:rPr>
      <w:rFonts w:eastAsia="Times New Roman" w:cs="Times New Roman"/>
      <w:sz w:val="20"/>
      <w:szCs w:val="20"/>
    </w:rPr>
  </w:style>
  <w:style w:type="paragraph" w:customStyle="1" w:styleId="Normalny1">
    <w:name w:val="Normalny1"/>
    <w:rsid w:val="00385BDE"/>
    <w:pPr>
      <w:spacing w:line="256" w:lineRule="auto"/>
    </w:pPr>
    <w:rPr>
      <w:rFonts w:ascii="Calibri" w:eastAsia="Calibri" w:hAnsi="Calibri" w:cs="Calibri"/>
      <w:lang w:eastAsia="pl-PL"/>
    </w:rPr>
  </w:style>
  <w:style w:type="character" w:customStyle="1" w:styleId="ng-star-inserted">
    <w:name w:val="ng-star-inserted"/>
    <w:basedOn w:val="Domylnaczcionkaakapitu"/>
    <w:rsid w:val="00385BDE"/>
  </w:style>
  <w:style w:type="paragraph" w:customStyle="1" w:styleId="Standard">
    <w:name w:val="Standard"/>
    <w:rsid w:val="00C037A2"/>
    <w:pPr>
      <w:widowControl w:val="0"/>
      <w:suppressAutoHyphens/>
      <w:autoSpaceDN w:val="0"/>
      <w:spacing w:line="249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Łuszczuk</dc:creator>
  <cp:keywords/>
  <dc:description/>
  <cp:lastModifiedBy>Bartłomiej Łuszczuk</cp:lastModifiedBy>
  <cp:revision>17</cp:revision>
  <dcterms:created xsi:type="dcterms:W3CDTF">2022-03-23T10:57:00Z</dcterms:created>
  <dcterms:modified xsi:type="dcterms:W3CDTF">2022-03-24T14:43:00Z</dcterms:modified>
</cp:coreProperties>
</file>