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pPr>
      <w:r>
        <w:rPr/>
        <w:t>The Uncanny Valley of the Vegan Patty: An Analysis of Culinary Mimicry and Existential Fry-sis</w:t>
      </w:r>
    </w:p>
    <w:p>
      <w:pPr>
        <w:pStyle w:val="Normal"/>
        <w:bidi w:val="0"/>
        <w:jc w:val="start"/>
        <w:rPr/>
      </w:pPr>
      <w:r>
        <w:rPr/>
        <w:t>Abstract: This paper investigates the vegan burger—a culinary simulacrum designed to appease the carnivore's palate while adhering to plant-based ethics. We posit that the vegan burger exists in a state of "existential fry-sis," caught between its aspiration to mimic the bovine original and its inherent plant-based reality. Utilizing semi-digestion analysis and sauce-ology, we explore the uncanny valley phenomenon in texture, flavor, and the sociolinguistic gymnastics required to order one without accidentally invoking a cow.</w:t>
      </w:r>
    </w:p>
    <w:p>
      <w:pPr>
        <w:pStyle w:val="Normal"/>
        <w:bidi w:val="0"/>
        <w:jc w:val="start"/>
        <w:rPr/>
      </w:pPr>
      <w:r>
        <w:rPr/>
        <w:t>1. Introduction: The Patty Paradox</w:t>
      </w:r>
    </w:p>
    <w:p>
      <w:pPr>
        <w:pStyle w:val="Normal"/>
        <w:bidi w:val="0"/>
        <w:jc w:val="start"/>
        <w:rPr/>
      </w:pPr>
      <w:r>
        <w:rPr/>
        <w:t>The vegan burger is not merely a food item; it is a philosophical query pressed between two buns. Its existence hinges on a fundamental paradox: in striving to replace the non-vegan burger, it simultaneously validates and rejects the very thing it imitates. This act of culinary mimicry raises crucial questions: If a patty looks like a burger, smells like a burger, and bleeds (beet juice) like a burger, but is definitively not a burger, what, precisely, are we consuming?</w:t>
      </w:r>
    </w:p>
    <w:p>
      <w:pPr>
        <w:pStyle w:val="Normal"/>
        <w:bidi w:val="0"/>
        <w:jc w:val="start"/>
        <w:rPr/>
      </w:pPr>
      <w:r>
        <w:rPr/>
        <w:t>2. Methodology: Semiotics of the Seara</w:t>
      </w:r>
    </w:p>
    <w:p>
      <w:pPr>
        <w:pStyle w:val="Normal"/>
        <w:bidi w:val="0"/>
        <w:jc w:val="start"/>
        <w:rPr/>
      </w:pPr>
      <w:r>
        <w:rPr/>
        <w:t>Our research employed a rigorous, multi-sensory approach. Ten participants (five self-proclaimed vegans, five reluctant omnivores) were subjected to a battery of popular vegan burgers under controlled conditions (i.e., a dimly lit kitchen with slightly too loud indie music).</w:t>
      </w:r>
    </w:p>
    <w:p>
      <w:pPr>
        <w:pStyle w:val="Normal"/>
        <w:bidi w:val="0"/>
        <w:jc w:val="start"/>
        <w:rPr/>
      </w:pPr>
      <w:r>
        <w:rPr/>
        <w:t>2.1. The Texture Test (Or, The Chew of Damocles)</w:t>
      </w:r>
    </w:p>
    <w:p>
      <w:pPr>
        <w:pStyle w:val="Normal"/>
        <w:bidi w:val="0"/>
        <w:jc w:val="start"/>
        <w:rPr/>
      </w:pPr>
      <w:r>
        <w:rPr/>
        <w:t>The texture, or "chew factor," was quantified using the "Tooth Resistance Quotient" (TRQ), a scale ranging from 1 (Slightly Damp Cardboard) to 10 (A Perfectly Rendered Cross-Section of Reality). We found that patties scoring below TRQ 5 often elicited the phrase, "It tastes... virtuous," which, in culinary critique, is understood to be polite code for "slightly disappointing."</w:t>
      </w:r>
    </w:p>
    <w:p>
      <w:pPr>
        <w:pStyle w:val="Normal"/>
        <w:bidi w:val="0"/>
        <w:jc w:val="start"/>
        <w:rPr/>
      </w:pPr>
      <w:r>
        <w:rPr/>
        <w:t>2.2. The Flavor Fugue: Decoding the Umami Overdrive</w:t>
      </w:r>
    </w:p>
    <w:p>
      <w:pPr>
        <w:pStyle w:val="Normal"/>
        <w:bidi w:val="0"/>
        <w:jc w:val="start"/>
        <w:rPr/>
      </w:pPr>
      <w:r>
        <w:rPr/>
        <w:t>The modern vegan burger often relies on an Umami Overdrive—a generous application of yeast extracts and secret seasonings designed to trick the Paleo-Limbic System (PLS) into believing it has encountered a savory, meaty experience. However, an overdose can result in a distinct, metallic aftertaste we term the "Irony of the Ion," where the sheer effort to taste like meat negates the authenticity of the plant.</w:t>
      </w:r>
    </w:p>
    <w:p>
      <w:pPr>
        <w:pStyle w:val="Normal"/>
        <w:bidi w:val="0"/>
        <w:jc w:val="start"/>
        <w:rPr/>
      </w:pPr>
      <w:r>
        <w:rPr/>
        <w:t>3. Findings: The Uncanny Valley of the Veggie</w:t>
      </w:r>
    </w:p>
    <w:p>
      <w:pPr>
        <w:pStyle w:val="Normal"/>
        <w:bidi w:val="0"/>
        <w:jc w:val="start"/>
        <w:rPr/>
      </w:pPr>
      <w:r>
        <w:rPr/>
        <w:t>Our most significant discovery lies in the concept of the Uncanny Valley of the Veggie (UVV).</w:t>
      </w:r>
    </w:p>
    <w:tbl>
      <w:tblPr>
        <w:tblW w:w="9972" w:type="dxa"/>
        <w:jc w:val="start"/>
        <w:tblInd w:w="0" w:type="dxa"/>
        <w:tblLayout w:type="fixed"/>
        <w:tblCellMar>
          <w:top w:w="28" w:type="dxa"/>
          <w:start w:w="28" w:type="dxa"/>
          <w:bottom w:w="28" w:type="dxa"/>
          <w:end w:w="28" w:type="dxa"/>
        </w:tblCellMar>
      </w:tblPr>
      <w:tblGrid>
        <w:gridCol w:w="2760"/>
        <w:gridCol w:w="4296"/>
        <w:gridCol w:w="2916"/>
      </w:tblGrid>
      <w:tr>
        <w:trPr>
          <w:tblHeader w:val="true"/>
        </w:trPr>
        <w:tc>
          <w:tcPr>
            <w:tcW w:w="2760" w:type="dxa"/>
            <w:tcBorders/>
            <w:vAlign w:val="center"/>
          </w:tcPr>
          <w:p>
            <w:pPr>
              <w:pStyle w:val="Normal"/>
              <w:bidi w:val="0"/>
              <w:jc w:val="start"/>
              <w:rPr/>
            </w:pPr>
            <w:r>
              <w:rPr/>
              <w:t>Mimicry Level</w:t>
            </w:r>
          </w:p>
        </w:tc>
        <w:tc>
          <w:tcPr>
            <w:tcW w:w="4296" w:type="dxa"/>
            <w:tcBorders/>
            <w:vAlign w:val="center"/>
          </w:tcPr>
          <w:p>
            <w:pPr>
              <w:pStyle w:val="Normal"/>
              <w:bidi w:val="0"/>
              <w:jc w:val="start"/>
              <w:rPr/>
            </w:pPr>
            <w:r>
              <w:rPr/>
              <w:t>Description</w:t>
            </w:r>
          </w:p>
        </w:tc>
        <w:tc>
          <w:tcPr>
            <w:tcW w:w="2916" w:type="dxa"/>
            <w:tcBorders/>
            <w:vAlign w:val="center"/>
          </w:tcPr>
          <w:p>
            <w:pPr>
              <w:pStyle w:val="Normal"/>
              <w:bidi w:val="0"/>
              <w:jc w:val="start"/>
              <w:rPr/>
            </w:pPr>
            <w:r>
              <w:rPr/>
              <w:t>Resulting Patron Emotion</w:t>
            </w:r>
          </w:p>
        </w:tc>
      </w:tr>
      <w:tr>
        <w:trPr/>
        <w:tc>
          <w:tcPr>
            <w:tcW w:w="2760" w:type="dxa"/>
            <w:tcBorders/>
            <w:vAlign w:val="center"/>
          </w:tcPr>
          <w:p>
            <w:pPr>
              <w:pStyle w:val="Normal"/>
              <w:bidi w:val="0"/>
              <w:jc w:val="start"/>
              <w:rPr/>
            </w:pPr>
            <w:r>
              <w:rPr/>
              <w:t>Low (Classic Veggie Burger)</w:t>
            </w:r>
          </w:p>
        </w:tc>
        <w:tc>
          <w:tcPr>
            <w:tcW w:w="4296" w:type="dxa"/>
            <w:tcBorders/>
            <w:vAlign w:val="center"/>
          </w:tcPr>
          <w:p>
            <w:pPr>
              <w:pStyle w:val="Normal"/>
              <w:bidi w:val="0"/>
              <w:jc w:val="start"/>
              <w:rPr/>
            </w:pPr>
            <w:r>
              <w:rPr/>
              <w:t>Clearly visible beans/corn/carrots. No attempt at "meatiness."</w:t>
            </w:r>
          </w:p>
        </w:tc>
        <w:tc>
          <w:tcPr>
            <w:tcW w:w="2916" w:type="dxa"/>
            <w:tcBorders/>
            <w:vAlign w:val="center"/>
          </w:tcPr>
          <w:p>
            <w:pPr>
              <w:pStyle w:val="Normal"/>
              <w:bidi w:val="0"/>
              <w:jc w:val="start"/>
              <w:rPr/>
            </w:pPr>
            <w:r>
              <w:rPr/>
              <w:t>Apathy, mild superiority.</w:t>
            </w:r>
          </w:p>
        </w:tc>
      </w:tr>
      <w:tr>
        <w:trPr/>
        <w:tc>
          <w:tcPr>
            <w:tcW w:w="2760" w:type="dxa"/>
            <w:tcBorders/>
            <w:vAlign w:val="center"/>
          </w:tcPr>
          <w:p>
            <w:pPr>
              <w:pStyle w:val="Normal"/>
              <w:bidi w:val="0"/>
              <w:jc w:val="start"/>
              <w:rPr/>
            </w:pPr>
            <w:r>
              <w:rPr/>
              <w:t>Medium (Early Engineered Patties)</w:t>
            </w:r>
          </w:p>
        </w:tc>
        <w:tc>
          <w:tcPr>
            <w:tcW w:w="4296" w:type="dxa"/>
            <w:tcBorders/>
            <w:vAlign w:val="center"/>
          </w:tcPr>
          <w:p>
            <w:pPr>
              <w:pStyle w:val="Normal"/>
              <w:bidi w:val="0"/>
              <w:jc w:val="start"/>
              <w:rPr/>
            </w:pPr>
            <w:r>
              <w:rPr/>
              <w:t>Attempts color/texture, but fails on flavor. Tastes of "good intentions."</w:t>
            </w:r>
          </w:p>
        </w:tc>
        <w:tc>
          <w:tcPr>
            <w:tcW w:w="2916" w:type="dxa"/>
            <w:tcBorders/>
            <w:vAlign w:val="center"/>
          </w:tcPr>
          <w:p>
            <w:pPr>
              <w:pStyle w:val="Normal"/>
              <w:bidi w:val="0"/>
              <w:jc w:val="start"/>
              <w:rPr/>
            </w:pPr>
            <w:r>
              <w:rPr/>
              <w:t>Suspicion, existential concern.</w:t>
            </w:r>
          </w:p>
        </w:tc>
      </w:tr>
      <w:tr>
        <w:trPr/>
        <w:tc>
          <w:tcPr>
            <w:tcW w:w="2760" w:type="dxa"/>
            <w:tcBorders/>
            <w:vAlign w:val="center"/>
          </w:tcPr>
          <w:p>
            <w:pPr>
              <w:pStyle w:val="Normal"/>
              <w:bidi w:val="0"/>
              <w:jc w:val="start"/>
              <w:rPr/>
            </w:pPr>
            <w:r>
              <w:rPr/>
              <w:t>High (Modern Hyper-Realistic Patty)</w:t>
            </w:r>
          </w:p>
        </w:tc>
        <w:tc>
          <w:tcPr>
            <w:tcW w:w="4296" w:type="dxa"/>
            <w:tcBorders/>
            <w:vAlign w:val="center"/>
          </w:tcPr>
          <w:p>
            <w:pPr>
              <w:pStyle w:val="Normal"/>
              <w:bidi w:val="0"/>
              <w:jc w:val="start"/>
              <w:rPr/>
            </w:pPr>
            <w:r>
              <w:rPr/>
              <w:t>Looks identical. Texture is near-perfect. The UVV Zone.</w:t>
            </w:r>
          </w:p>
        </w:tc>
        <w:tc>
          <w:tcPr>
            <w:tcW w:w="2916" w:type="dxa"/>
            <w:tcBorders/>
            <w:vAlign w:val="center"/>
          </w:tcPr>
          <w:p>
            <w:pPr>
              <w:pStyle w:val="Normal"/>
              <w:bidi w:val="0"/>
              <w:jc w:val="start"/>
              <w:rPr/>
            </w:pPr>
            <w:r>
              <w:rPr/>
              <w:t>Alarm. "Wait, are you sure this isn't meat?"</w:t>
            </w:r>
          </w:p>
        </w:tc>
      </w:tr>
    </w:tbl>
    <w:p>
      <w:pPr>
        <w:pStyle w:val="Normal"/>
        <w:bidi w:val="0"/>
        <w:jc w:val="start"/>
        <w:rPr/>
      </w:pPr>
      <w:r>
        <w:rPr/>
      </w:r>
    </w:p>
    <w:p>
      <w:pPr>
        <w:pStyle w:val="Normal"/>
        <w:bidi w:val="0"/>
        <w:jc w:val="start"/>
        <w:rPr/>
      </w:pPr>
      <w:r>
        <w:rPr/>
        <w:t>The UVV is the point at which the vegan patty is so lifelike that it begins to repulse the consumer. The mind, faced with visual cues of meat and sensory evidence of not-meat, experiences cognitive dissonance, resulting in a loss of appetite, often manifesting as a profound reflection on the nature of reality.</w:t>
      </w:r>
    </w:p>
    <w:p>
      <w:pPr>
        <w:pStyle w:val="Normal"/>
        <w:bidi w:val="0"/>
        <w:jc w:val="start"/>
        <w:rPr/>
      </w:pPr>
      <w:r>
        <w:rPr/>
        <w:t>4. Discussion: The Sociolinguistics of the Order</w:t>
      </w:r>
    </w:p>
    <w:p>
      <w:pPr>
        <w:pStyle w:val="Normal"/>
        <w:bidi w:val="0"/>
        <w:jc w:val="start"/>
        <w:rPr/>
      </w:pPr>
      <w:r>
        <w:rPr/>
        <w:t>Perhaps the most challenging aspect of the vegan burger is the social performance required to acquire it. The ordering process is a linguistic minefield:</w:t>
      </w:r>
    </w:p>
    <w:p>
      <w:pPr>
        <w:pStyle w:val="Normal"/>
        <w:bidi w:val="0"/>
        <w:jc w:val="start"/>
        <w:rPr/>
      </w:pPr>
      <w:r>
        <w:rPr/>
        <w:t>Patron: "I'll have a burger." Server: "Beef?" Patron (Sweating): "No, no, the... the other one. The one that didn't require a relationship with a cow. The plant-forward protein disc. Hold the judgment."</w:t>
      </w:r>
    </w:p>
    <w:p>
      <w:pPr>
        <w:pStyle w:val="Normal"/>
        <w:bidi w:val="0"/>
        <w:jc w:val="start"/>
        <w:rPr/>
      </w:pPr>
      <w:r>
        <w:rPr/>
        <w:t>The development of the term "plant-based" is, in itself, a linguistic defense mechanism—a way to distance the product from the negative connotations of the "veggie burger" (TRQ &lt; 3) while avoiding the legal implications of pure "meat."</w:t>
      </w:r>
    </w:p>
    <w:p>
      <w:pPr>
        <w:pStyle w:val="Normal"/>
        <w:bidi w:val="0"/>
        <w:jc w:val="start"/>
        <w:rPr/>
      </w:pPr>
      <w:r>
        <w:rPr/>
        <w:t>5. Conclusion: Beyond the Buns</w:t>
      </w:r>
    </w:p>
    <w:p>
      <w:pPr>
        <w:pStyle w:val="Normal"/>
        <w:bidi w:val="0"/>
        <w:jc w:val="start"/>
        <w:rPr/>
      </w:pPr>
      <w:r>
        <w:rPr/>
        <w:t>The vegan burger is an edible monument to human ingenuity and ethical compromise. It is a product that simultaneously satisfies a dietary restriction and a primal craving, but it carries a heavy philosophical burden. As technology advances, we may soon face the truly terrifying prospect of a Perfectly Simulated Vegan Burger (PSVB), at which point humanity must ask: Is our obsession with mimicry a sign of progress, or are we simply trapped in a delicious, protein-rich echo chamber? Further research is required, preferably with a side of sweet potato fries.</w:t>
      </w:r>
    </w:p>
    <w:p>
      <w:pPr>
        <w:pStyle w:val="Normal"/>
        <w:bidi w:val="0"/>
        <w:jc w:val="start"/>
        <w:rPr/>
      </w:pPr>
      <w:r>
        <w:rPr/>
      </w:r>
    </w:p>
    <w:p>
      <w:pPr>
        <w:pStyle w:val="Normal"/>
        <w:bidi w:val="0"/>
        <w:jc w:val="start"/>
        <w:rPr/>
      </w:pPr>
      <w:r>
        <w:rPr/>
        <w:t xml:space="preserve">6. References</w:t>
      </w:r>
    </w:p>
    <w:p>
      <w:pPr>
        <w:pStyle w:val="Normal"/>
        <w:bidi w:val="0"/>
        <w:jc w:val="start"/>
        <w:rPr/>
      </w:pPr>
      <w:r>
        <w:rPr/>
        <w:t xml:space="preserve">Beet, R. D., &amp; Juice, B. (2021). Bleeding for the cause: Heme, beets, and the performance of meatiness. Plant-Based Theatrics, 17(3), 202–219.</w:t>
      </w:r>
    </w:p>
    <w:p>
      <w:pPr>
        <w:pStyle w:val="Normal"/>
        <w:bidi w:val="0"/>
        <w:jc w:val="start"/>
        <w:rPr/>
      </w:pPr>
      <w:r>
        <w:rPr/>
        <w:t xml:space="preserve">Chew, D. A. (2020). The Tooth Resistance Quotient: Validation of a 10-point scale from damp cardboard to reality. Mastication Metrics, 12(1), 1–10.</w:t>
      </w:r>
    </w:p>
    <w:p>
      <w:pPr>
        <w:pStyle w:val="Normal"/>
        <w:bidi w:val="0"/>
        <w:jc w:val="start"/>
        <w:rPr/>
      </w:pPr>
      <w:r>
        <w:rPr/>
        <w:t xml:space="preserve">Cow, B. (n.d.). Personal communication. Declined to enter into a relationship with the authors.</w:t>
      </w:r>
    </w:p>
    <w:p>
      <w:pPr>
        <w:pStyle w:val="Normal"/>
        <w:bidi w:val="0"/>
        <w:jc w:val="start"/>
        <w:rPr/>
      </w:pPr>
      <w:r>
        <w:rPr/>
        <w:t xml:space="preserve">Damocles, S. (ca. 400 BCE). The chew of: A pre-modern account. Ancient Texts on Dining Under Threat, 1, 1.</w:t>
      </w:r>
    </w:p>
    <w:p>
      <w:pPr>
        <w:pStyle w:val="Normal"/>
        <w:bidi w:val="0"/>
        <w:jc w:val="start"/>
        <w:rPr/>
      </w:pPr>
      <w:r>
        <w:rPr/>
        <w:t xml:space="preserve">Dissonance, C. (2020). “Wait, are you sure this isn’t meat?” Alarm responses to hyper-realistic patty exposure. Journal of Applied Existential Dread, 19(5), 505–512.</w:t>
      </w:r>
    </w:p>
    <w:p>
      <w:pPr>
        <w:pStyle w:val="Normal"/>
        <w:bidi w:val="0"/>
        <w:jc w:val="start"/>
        <w:rPr/>
      </w:pPr>
      <w:r>
        <w:rPr/>
        <w:t xml:space="preserve">Fry-sis, E. (2024). Existential fry-sis: A longitudinal study of sweet potato fries as a coping mechanism. Side Dish Psychology, 4(1), 1–∞.</w:t>
      </w:r>
    </w:p>
    <w:p>
      <w:pPr>
        <w:pStyle w:val="Normal"/>
        <w:bidi w:val="0"/>
        <w:jc w:val="start"/>
        <w:rPr/>
      </w:pPr>
      <w:r>
        <w:rPr/>
        <w:t xml:space="preserve">Legal Department. (2021). The legal implications of pure “meat”: An unsatisfying memo. Bulletin of Labeling Law and Plausible Deniability, 2(1), 17.</w:t>
      </w:r>
    </w:p>
    <w:p>
      <w:pPr>
        <w:pStyle w:val="Normal"/>
        <w:bidi w:val="0"/>
        <w:jc w:val="start"/>
        <w:rPr/>
      </w:pPr>
      <w:r>
        <w:rPr/>
        <w:t xml:space="preserve">Mori-ish, M. (2019). The uncanny valley of the veggie: A translation from the original patty. Journal of Robotic Lunch Studies, 8(2), 33–35.</w:t>
      </w:r>
    </w:p>
    <w:p>
      <w:pPr>
        <w:pStyle w:val="Normal"/>
        <w:bidi w:val="0"/>
        <w:jc w:val="start"/>
        <w:rPr/>
      </w:pPr>
      <w:r>
        <w:rPr/>
        <w:t xml:space="preserve">Paleo-Limbic, P. L. S., &amp; Amygdala, R. (2019). Savory deception: Yeast extracts and the credulous brain. Neurogastronomy Letters, 23(1), 45–52.</w:t>
      </w:r>
    </w:p>
    <w:p>
      <w:pPr>
        <w:pStyle w:val="Normal"/>
        <w:bidi w:val="0"/>
        <w:jc w:val="start"/>
        <w:rPr/>
      </w:pPr>
      <w:r>
        <w:rPr/>
        <w:t xml:space="preserve">Server, W., &amp; Patron, S. (2022). “Beef?”: Sociolinguistic gymnastics in the ordering of plant-forward protein discs. Annals of Awkward Ordering, 6(2), 1–14.</w:t>
      </w:r>
    </w:p>
    <w:p>
      <w:pPr>
        <w:pStyle w:val="Normal"/>
        <w:bidi w:val="0"/>
        <w:jc w:val="start"/>
        <w:rPr/>
      </w:pPr>
      <w:r>
        <w:rPr/>
        <w:t xml:space="preserve">Simulacrum, B. (2018). Simulacra and sesame seeds: Toward a hyperreal bun. Journal of Hyperreal Gastronomy, 15(3), 81–99.</w:t>
      </w:r>
    </w:p>
    <w:p>
      <w:pPr>
        <w:pStyle w:val="Normal"/>
        <w:bidi w:val="0"/>
        <w:jc w:val="start"/>
        <w:rPr/>
      </w:pPr>
      <w:r>
        <w:rPr/>
        <w:t xml:space="preserve">Umami, Y. E., &amp; Extract, N. (2022). The Irony of the Ion: Metallic aftertaste as a function of trying too hard. Journal of Overdriven Flavor, 31(4), 404–418.</w:t>
      </w:r>
    </w:p>
    <w:p>
      <w:pPr>
        <w:pStyle w:val="Normal"/>
        <w:bidi w:val="0"/>
        <w:jc w:val="start"/>
        <w:rPr/>
      </w:pPr>
      <w:r>
        <w:rPr/>
        <w:t xml:space="preserve">Virtuous, T. (2023). “It tastes… virtuous”: A lexicon of polite disappointment. Linguistics of Dinner, 9(1), 77–80.</w:t>
      </w:r>
    </w:p>
    <w:sectPr>
      <w:type w:val="nextPage"/>
      <w:pgSz w:w="12240" w:h="15840"/>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Times New Roman">
    <w:charset w:val="01" w:characterSet="utf-8"/>
    <w:family w:val="roman"/>
    <w:pitch w:val="default"/>
  </w:font>
</w:fonts>
</file>

<file path=word/settings.xml><?xml version="1.0" encoding="utf-8"?>
<w:settings xmlns:w="http://schemas.openxmlformats.org/wordprocessingml/2006/main">
  <w:zoom w:percent="12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oto Serif CJK SC" w:cs="Lohit Devanagari"/>
        <w:kern w:val="2"/>
        <w:sz w:val="24"/>
        <w:szCs w:val="24"/>
        <w:lang w:val="en-US"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Times New Roman" w:hAnsi="Times New Roman" w:eastAsia="Noto Serif CJK SC" w:cs="Lohit Devanagari"/>
      <w:color w:val="auto"/>
      <w:kern w:val="2"/>
      <w:sz w:val="24"/>
      <w:szCs w:val="24"/>
      <w:lang w:val="en-US" w:eastAsia="zh-CN" w:bidi="hi-IN"/>
    </w:rPr>
  </w:style>
  <w:style w:type="paragraph" w:styleId="Heading2">
    <w:name w:val="heading 2"/>
    <w:basedOn w:val="Nagwek"/>
    <w:next w:val="BodyText"/>
    <w:qFormat/>
    <w:pPr>
      <w:numPr>
        <w:ilvl w:val="0"/>
        <w:numId w:val="0"/>
      </w:numPr>
      <w:spacing w:before="200" w:after="120"/>
      <w:outlineLvl w:val="1"/>
    </w:pPr>
    <w:rPr>
      <w:rFonts w:ascii="Liberation Serif" w:hAnsi="Liberation Serif" w:eastAsia="Noto Serif CJK SC" w:cs="Lohit Devanagari"/>
      <w:b/>
      <w:bCs/>
      <w:sz w:val="36"/>
      <w:szCs w:val="36"/>
    </w:rPr>
  </w:style>
  <w:style w:type="paragraph" w:styleId="Heading3">
    <w:name w:val="heading 3"/>
    <w:basedOn w:val="Nagwek"/>
    <w:next w:val="BodyText"/>
    <w:qFormat/>
    <w:pPr>
      <w:numPr>
        <w:ilvl w:val="0"/>
        <w:numId w:val="0"/>
      </w:numPr>
      <w:spacing w:before="140" w:after="120"/>
      <w:outlineLvl w:val="2"/>
    </w:pPr>
    <w:rPr>
      <w:rFonts w:ascii="Liberation Serif" w:hAnsi="Liberation Serif" w:eastAsia="Noto Serif CJK SC" w:cs="Lohit Devanagari"/>
      <w:b/>
      <w:bCs/>
      <w:sz w:val="28"/>
      <w:szCs w:val="28"/>
    </w:rPr>
  </w:style>
  <w:style w:type="paragraph" w:styleId="Nagwek">
    <w:name w:val="Nagłówek"/>
    <w:basedOn w:val="Normal"/>
    <w:next w:val="BodyText"/>
    <w:qFormat/>
    <w:pPr>
      <w:keepNext w:val="true"/>
      <w:spacing w:before="240" w:after="120"/>
    </w:pPr>
    <w:rPr>
      <w:rFonts w:ascii="Times New Roman" w:hAnsi="Times New Roman"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Times New Roman" w:hAnsi="Times New Roman" w:cs="Lohit Devanagari"/>
    </w:rPr>
  </w:style>
  <w:style w:type="paragraph" w:styleId="Caption">
    <w:name w:val="caption"/>
    <w:basedOn w:val="Normal"/>
    <w:qFormat/>
    <w:pPr>
      <w:suppressLineNumbers/>
      <w:spacing w:before="120" w:after="120"/>
    </w:pPr>
    <w:rPr>
      <w:rFonts w:ascii="Times New Roman" w:hAnsi="Times New Roman" w:cs="Lohit Devanagari"/>
      <w:i/>
      <w:iCs/>
      <w:sz w:val="24"/>
      <w:szCs w:val="24"/>
    </w:rPr>
  </w:style>
  <w:style w:type="paragraph" w:styleId="Indeks">
    <w:name w:val="Indeks"/>
    <w:basedOn w:val="Normal"/>
    <w:qFormat/>
    <w:pPr>
      <w:suppressLineNumbers/>
    </w:pPr>
    <w:rPr>
      <w:rFonts w:ascii="Times New Roman" w:hAnsi="Times New Roman" w:cs="Lohit Devanagari"/>
    </w:rPr>
  </w:style>
  <w:style w:type="paragraph" w:styleId="Liniapozioma">
    <w:name w:val="Linia pozioma"/>
    <w:basedOn w:val="Normal"/>
    <w:next w:val="BodyText"/>
    <w:qFormat/>
    <w:pPr>
      <w:suppressLineNumbers/>
      <w:pBdr>
        <w:bottom w:val="double" w:sz="2" w:space="0" w:color="808080"/>
      </w:pBdr>
      <w:spacing w:before="0" w:after="283"/>
    </w:pPr>
    <w:rPr>
      <w:sz w:val="12"/>
      <w:szCs w:val="12"/>
    </w:rPr>
  </w:style>
  <w:style w:type="paragraph" w:styleId="Zawartotabeli">
    <w:name w:val="Zawartość tabeli"/>
    <w:basedOn w:val="Normal"/>
    <w:qFormat/>
    <w:pPr>
      <w:widowControl w:val="false"/>
      <w:suppressLineNumbers/>
    </w:pPr>
    <w:rPr/>
  </w:style>
  <w:style w:type="paragraph" w:styleId="Nagwektabeli">
    <w:name w:val="Nagłówek tabeli"/>
    <w:basedOn w:val="Zawartotabeli"/>
    <w:qFormat/>
    <w:pPr>
      <w:suppressLineNumbers/>
      <w:jc w:val="center"/>
    </w:pPr>
    <w:rPr>
      <w:b/>
      <w:bCs/>
    </w:rPr>
  </w:style>
  <w:style w:type="paragraph" w:styleId="Cytatblokowy">
    <w:name w:val="Cytat blokowy"/>
    <w:basedOn w:val="Normal"/>
    <w:qFormat/>
    <w:pPr>
      <w:spacing w:before="0" w:after="283"/>
      <w:ind w:hanging="0" w:start="567" w:end="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6</TotalTime>
  <Application>LibreOffice/26.2.5.2$Linux_X86_64 LibreOffice_project/620$Build-2</Application>
  <AppVersion>15.0000</AppVersion>
  <Pages>2</Pages>
  <Words>688</Words>
  <Characters>3792</Characters>
  <CharactersWithSpaces>4446</CharactersWithSpaces>
  <Paragraphs>31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2025-11-26T21:23:41Z</dcterms:created>
  <dc:creator/>
  <dc:description/>
  <dc:language>en-GB</dc:language>
  <cp:lastModifiedBy>Hubert Kowalewski</cp:lastModifiedBy>
  <dcterms:modified xsi:type="dcterms:W3CDTF">2026-10-02T10:37:12Z</dcterms:modified>
  <cp:revision>2</cp:revision>
  <dc:subject/>
  <dc:title/>
</cp:coreProperties>
</file>